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t>Włocławek, dnia 21.01.2026 r.</w:t>
      </w:r>
    </w:p>
    <w:p>
      <w:pPr>
        <w:pStyle w:val="Default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>Z</w:t>
      </w:r>
      <w:r>
        <w:rPr>
          <w:rFonts w:ascii="Arial" w:hAnsi="Arial"/>
          <w:b/>
          <w:bCs/>
          <w:color w:val="auto"/>
          <w:sz w:val="24"/>
          <w:szCs w:val="24"/>
        </w:rPr>
        <w:t>apytanie ofertowe</w:t>
      </w:r>
    </w:p>
    <w:p>
      <w:pPr>
        <w:pStyle w:val="Default"/>
        <w:spacing w:before="0"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>w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b/>
          <w:bCs/>
          <w:color w:val="auto"/>
          <w:sz w:val="24"/>
          <w:szCs w:val="24"/>
        </w:rPr>
        <w:t xml:space="preserve">sprawie udzielenia zamówienia publicznego </w:t>
      </w:r>
      <w:r>
        <w:rPr>
          <w:rFonts w:eastAsia="Times New Roman" w:cs="Times New Roman" w:ascii="Arial" w:hAnsi="Arial"/>
          <w:b/>
          <w:bCs/>
          <w:color w:val="auto"/>
          <w:kern w:val="2"/>
          <w:sz w:val="24"/>
          <w:szCs w:val="24"/>
          <w:lang w:eastAsia="pl-PL"/>
        </w:rPr>
        <w:t>o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/>
          <w:bCs/>
          <w:color w:val="auto"/>
          <w:kern w:val="2"/>
          <w:sz w:val="24"/>
          <w:szCs w:val="24"/>
          <w:lang w:eastAsia="pl-PL"/>
        </w:rPr>
        <w:t>wartości nieprzekraczającej 170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/>
          <w:bCs/>
          <w:color w:val="auto"/>
          <w:kern w:val="2"/>
          <w:sz w:val="24"/>
          <w:szCs w:val="24"/>
          <w:lang w:eastAsia="pl-PL"/>
        </w:rPr>
        <w:t>tysięcy złotych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i/>
          <w:sz w:val="24"/>
          <w:szCs w:val="24"/>
        </w:rPr>
        <w:t xml:space="preserve">(Na podstawie 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 xml:space="preserve">Zarządzenia nr 1/2026 </w:t>
      </w:r>
      <w:r>
        <w:rPr>
          <w:rFonts w:ascii="Arial" w:hAnsi="Arial"/>
          <w:i/>
          <w:sz w:val="24"/>
          <w:szCs w:val="24"/>
        </w:rPr>
        <w:t>Dyrektora Centrum Usług Wspólnych Placówek Oświatowych we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> </w:t>
      </w:r>
      <w:r>
        <w:rPr>
          <w:rFonts w:ascii="Arial" w:hAnsi="Arial"/>
          <w:i/>
          <w:sz w:val="24"/>
          <w:szCs w:val="24"/>
        </w:rPr>
        <w:t>Włocławku z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> </w:t>
      </w:r>
      <w:r>
        <w:rPr>
          <w:rFonts w:ascii="Arial" w:hAnsi="Arial"/>
          <w:i/>
          <w:sz w:val="24"/>
          <w:szCs w:val="24"/>
        </w:rPr>
        <w:t>dnia 2 stycznia 2026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 xml:space="preserve"> </w:t>
      </w:r>
      <w:r>
        <w:rPr>
          <w:rFonts w:ascii="Arial" w:hAnsi="Arial"/>
          <w:i/>
          <w:sz w:val="24"/>
          <w:szCs w:val="24"/>
        </w:rPr>
        <w:t xml:space="preserve">r. 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>w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>sprawie udzielania zamówień publicznych o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>wartości nieprzekraczającej 170</w:t>
      </w:r>
      <w:r>
        <w:rPr>
          <w:rFonts w:eastAsia="Times New Roman" w:cs="Times New Roman" w:ascii="Arial" w:hAnsi="Arial"/>
          <w:i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Cs/>
          <w:i/>
          <w:kern w:val="2"/>
          <w:sz w:val="24"/>
          <w:szCs w:val="24"/>
          <w:lang w:eastAsia="pl-PL"/>
        </w:rPr>
        <w:t>tysięcy złotych</w:t>
      </w:r>
      <w:r>
        <w:rPr>
          <w:rFonts w:ascii="Arial" w:hAnsi="Arial"/>
          <w:i/>
          <w:sz w:val="24"/>
          <w:szCs w:val="24"/>
        </w:rPr>
        <w:t>).</w:t>
      </w:r>
    </w:p>
    <w:p>
      <w:pPr>
        <w:pStyle w:val="Default"/>
        <w:numPr>
          <w:ilvl w:val="0"/>
          <w:numId w:val="40"/>
        </w:numPr>
        <w:spacing w:lineRule="auto" w:line="276"/>
        <w:jc w:val="both"/>
        <w:rPr/>
      </w:pPr>
      <w:r>
        <w:rPr>
          <w:rFonts w:ascii="Arial" w:hAnsi="Arial"/>
          <w:b/>
          <w:bCs/>
          <w:color w:val="auto"/>
          <w:sz w:val="24"/>
          <w:szCs w:val="24"/>
        </w:rPr>
        <w:t>Nazwa i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b/>
          <w:bCs/>
          <w:color w:val="auto"/>
          <w:sz w:val="24"/>
          <w:szCs w:val="24"/>
        </w:rPr>
        <w:t>adres zamawiającego:</w:t>
      </w:r>
    </w:p>
    <w:p>
      <w:pPr>
        <w:pStyle w:val="Default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Centrum Usług Wspólnych</w:t>
      </w:r>
    </w:p>
    <w:p>
      <w:pPr>
        <w:pStyle w:val="Default"/>
        <w:ind w:hanging="282" w:left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Placówek Oświatowych we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Włocławku</w:t>
      </w:r>
    </w:p>
    <w:p>
      <w:pPr>
        <w:pStyle w:val="Default"/>
        <w:ind w:hanging="282" w:left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ul.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Wojska Polskiego 27</w:t>
      </w:r>
    </w:p>
    <w:p>
      <w:pPr>
        <w:pStyle w:val="Default"/>
        <w:ind w:hanging="282" w:left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87-800 Włocławek</w:t>
      </w:r>
    </w:p>
    <w:p>
      <w:pPr>
        <w:pStyle w:val="Default"/>
        <w:numPr>
          <w:ilvl w:val="0"/>
          <w:numId w:val="41"/>
        </w:numPr>
        <w:spacing w:lineRule="auto" w:line="276" w:before="24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>Opis przedmiotu zamówienia:</w:t>
      </w:r>
    </w:p>
    <w:p>
      <w:pPr>
        <w:pStyle w:val="NoSpacing"/>
        <w:ind w:left="426"/>
        <w:jc w:val="both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Przedmiotem zamówienia jest zapewnienie dostępności oraz</w:t>
      </w:r>
      <w:r>
        <w:rPr>
          <w:rStyle w:val="FontStyle44"/>
          <w:rFonts w:ascii="Arial" w:hAnsi="Arial"/>
          <w:sz w:val="24"/>
          <w:szCs w:val="24"/>
        </w:rPr>
        <w:t xml:space="preserve"> 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ciągłości działania platformy edukacyjnej dla </w:t>
      </w:r>
      <w:r>
        <w:rPr>
          <w:rFonts w:ascii="Arial" w:hAnsi="Arial"/>
          <w:sz w:val="24"/>
          <w:szCs w:val="24"/>
        </w:rPr>
        <w:t>Centrum Usług Wspólnych Placówek Oświatowych we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Włocławku, która obejmuje:</w:t>
      </w:r>
    </w:p>
    <w:p>
      <w:pPr>
        <w:pStyle w:val="NoSpacing"/>
        <w:numPr>
          <w:ilvl w:val="0"/>
          <w:numId w:val="29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Udzielenia wielostanowiskowej licencji na użytkowanie systemu składającego się z następujących aplikacji:</w:t>
      </w:r>
    </w:p>
    <w:p>
      <w:pPr>
        <w:pStyle w:val="NoSpacing"/>
        <w:numPr>
          <w:ilvl w:val="0"/>
          <w:numId w:val="1"/>
        </w:numPr>
        <w:ind w:hanging="360" w:left="1560"/>
        <w:jc w:val="both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aplikacji </w:t>
      </w:r>
      <w:r>
        <w:rPr>
          <w:rFonts w:ascii="Arial" w:hAnsi="Arial"/>
          <w:sz w:val="24"/>
          <w:szCs w:val="24"/>
        </w:rPr>
        <w:t>finansowo-księgowej opisanej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punkcie 1 –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okresie od 01.02.2026 do 31.01.2027 roku,</w:t>
      </w:r>
    </w:p>
    <w:p>
      <w:pPr>
        <w:pStyle w:val="NoSpacing"/>
        <w:numPr>
          <w:ilvl w:val="0"/>
          <w:numId w:val="1"/>
        </w:numPr>
        <w:ind w:hanging="360" w:left="1560"/>
        <w:jc w:val="both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aplikacji</w:t>
      </w:r>
      <w:r>
        <w:rPr>
          <w:rFonts w:ascii="Arial" w:hAnsi="Arial"/>
          <w:sz w:val="24"/>
          <w:szCs w:val="24"/>
        </w:rPr>
        <w:t xml:space="preserve"> kadrowej wraz z nadzorem kadrowym i płacowej opisanych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punkcie 2 – w okresie od 01.07.2026 do 30.06.2027 roku,</w:t>
      </w:r>
    </w:p>
    <w:p>
      <w:pPr>
        <w:pStyle w:val="NoSpacing"/>
        <w:numPr>
          <w:ilvl w:val="0"/>
          <w:numId w:val="1"/>
        </w:numPr>
        <w:ind w:hanging="360" w:left="1560"/>
        <w:jc w:val="both"/>
        <w:rPr/>
      </w:pPr>
      <w:r>
        <w:rPr>
          <w:rFonts w:eastAsia="Times New Roman" w:cs="Times New Roman" w:ascii="Arial" w:hAnsi="Arial"/>
          <w:sz w:val="24"/>
          <w:szCs w:val="24"/>
          <w:lang w:eastAsia="pl-PL"/>
        </w:rPr>
        <w:t>aplikacji</w:t>
      </w:r>
      <w:r>
        <w:rPr>
          <w:rFonts w:ascii="Arial" w:hAnsi="Arial"/>
          <w:sz w:val="24"/>
          <w:szCs w:val="24"/>
        </w:rPr>
        <w:t xml:space="preserve"> Inwentarz opisanej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punkcie 3 – w okresie od 01.02.2026 do 31.01.2027 roku.</w:t>
      </w:r>
    </w:p>
    <w:p>
      <w:pPr>
        <w:pStyle w:val="NoSpacing"/>
        <w:numPr>
          <w:ilvl w:val="0"/>
          <w:numId w:val="29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Wdrożenie systemu dedykowanego dla Zamawiającego pod względem ilości obsługiwanych 48 jednostek oświatowych (w tym CUWPO).</w:t>
      </w:r>
    </w:p>
    <w:p>
      <w:pPr>
        <w:pStyle w:val="NoSpacing"/>
        <w:numPr>
          <w:ilvl w:val="0"/>
          <w:numId w:val="29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Serwis gwarancyjny obejmujący przeszkolenie wskazanych przez Zamawiającego użytkowników systemu.</w:t>
      </w:r>
    </w:p>
    <w:p>
      <w:pPr>
        <w:pStyle w:val="NoSpacing"/>
        <w:numPr>
          <w:ilvl w:val="0"/>
          <w:numId w:val="29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Asystę techniczną i konserwację systemu w okresie trwania umowy.</w:t>
      </w:r>
    </w:p>
    <w:p>
      <w:pPr>
        <w:pStyle w:val="NoSpacing"/>
        <w:numPr>
          <w:ilvl w:val="0"/>
          <w:numId w:val="29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Usługę serwisową i inne czynności, których celem jest zapewnienie niezawodności działania dostarczonego zintegrowanego systemu.</w:t>
      </w:r>
    </w:p>
    <w:p>
      <w:pPr>
        <w:pStyle w:val="NoSpacing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Powierzone prace muszą być wykonane zgodnie z obustronnymi ustaleniami i z należytą starannością.</w:t>
      </w:r>
    </w:p>
    <w:p>
      <w:pPr>
        <w:pStyle w:val="NoSpacing"/>
        <w:ind w:left="426"/>
        <w:jc w:val="both"/>
        <w:rPr/>
      </w:pPr>
      <w:r>
        <w:rPr>
          <w:rFonts w:ascii="Arial" w:hAnsi="Arial"/>
          <w:sz w:val="24"/>
          <w:szCs w:val="24"/>
        </w:rPr>
        <w:t>Aplikacje wchodzące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skład platformy edukacyjnej:</w:t>
      </w:r>
    </w:p>
    <w:p>
      <w:pPr>
        <w:pStyle w:val="NoSpacing"/>
        <w:numPr>
          <w:ilvl w:val="0"/>
          <w:numId w:val="3"/>
        </w:numPr>
        <w:ind w:hanging="436" w:left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System finansowo-księgowy</w:t>
      </w:r>
    </w:p>
    <w:p>
      <w:pPr>
        <w:pStyle w:val="NoSpacing"/>
        <w:ind w:left="426"/>
        <w:jc w:val="both"/>
        <w:rPr/>
      </w:pPr>
      <w:r>
        <w:rPr>
          <w:rFonts w:ascii="Arial" w:hAnsi="Arial"/>
          <w:sz w:val="24"/>
          <w:szCs w:val="24"/>
        </w:rPr>
        <w:t>System funkcjonujący zgodnie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ustawą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rachunkowości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uwzględnieniem specyfiki jednostek oświatowych do zarządzania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obsługi finansowo-księgowej. Wspomaga zarządzanie finansami, sprawozdawczość budżetową i finansową, a także umożliwia szczegółową analizę danych i zwiększenie kontroli finansowej. Umożliwia prowadzenie rozrachunków jednostek oświatowych wraz z bieżącą kontrolą należności i zobowiązań wraz z podstawową windykacją należności. Pozwala na obsługę obrotu gotówkowego w zakresie wielu niezależnych kas, a także na podstawie wprowadzonych dokumentów sprzedaży i zakupu – prowadzenie cząstkowego rejestru VAT.</w:t>
      </w:r>
    </w:p>
    <w:p>
      <w:pPr>
        <w:pStyle w:val="NoSpacing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System:</w:t>
      </w:r>
    </w:p>
    <w:p>
      <w:pPr>
        <w:pStyle w:val="NoSpacing"/>
        <w:numPr>
          <w:ilvl w:val="0"/>
          <w:numId w:val="4"/>
        </w:numPr>
        <w:jc w:val="both"/>
        <w:rPr>
          <w:rFonts w:ascii="Arial" w:hAnsi="Arial"/>
          <w:sz w:val="24"/>
          <w:szCs w:val="24"/>
        </w:rPr>
      </w:pPr>
      <w:r>
        <w:rPr>
          <w:rFonts w:eastAsia="" w:ascii="Arial" w:hAnsi="Arial" w:eastAsiaTheme="minorEastAsia"/>
          <w:sz w:val="24"/>
          <w:szCs w:val="24"/>
        </w:rPr>
        <w:t>posiada jedną centralną bazę, dostępną przez Internet dla wszystkich podległych 47 jednostek;</w:t>
      </w:r>
    </w:p>
    <w:p>
      <w:pPr>
        <w:pStyle w:val="NoSpacing"/>
        <w:numPr>
          <w:ilvl w:val="0"/>
          <w:numId w:val="4"/>
        </w:numPr>
        <w:jc w:val="both"/>
        <w:rPr/>
      </w:pPr>
      <w:r>
        <w:rPr>
          <w:rFonts w:eastAsia="" w:ascii="Arial" w:hAnsi="Arial" w:eastAsiaTheme="minorEastAsia"/>
          <w:sz w:val="24"/>
          <w:szCs w:val="24"/>
        </w:rPr>
        <w:t>wspólna baza gromadzi dane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wszystkich 48 jednostkach oświatowych, klasyfikacji budżetowej i zadaniach. Dane te są pobierane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jednego miejsca do wszystkich słowników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ascii="Arial" w:hAnsi="Arial" w:eastAsiaTheme="minorEastAsia"/>
          <w:sz w:val="24"/>
          <w:szCs w:val="24"/>
        </w:rPr>
        <w:t>systemie;</w:t>
      </w:r>
    </w:p>
    <w:p>
      <w:pPr>
        <w:pStyle w:val="Wypunktowanie1NV"/>
        <w:numPr>
          <w:ilvl w:val="0"/>
          <w:numId w:val="4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plan kont ogranicza się do operacji gospodarczych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nie zawiera danych o kontrahentach, klasyfikacji budżetowej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zadaniach.</w:t>
      </w:r>
    </w:p>
    <w:p>
      <w:pPr>
        <w:pStyle w:val="Wypunktowanie1NV"/>
        <w:numPr>
          <w:ilvl w:val="0"/>
          <w:numId w:val="0"/>
        </w:numPr>
        <w:spacing w:before="0" w:after="0"/>
        <w:ind w:firstLine="426" w:left="0"/>
        <w:jc w:val="both"/>
        <w:rPr/>
      </w:pPr>
      <w:r>
        <w:rPr>
          <w:rStyle w:val="normaltextrun"/>
          <w:rFonts w:eastAsia="Calibri" w:cs="Calibri" w:ascii="Arial" w:hAnsi="Arial"/>
          <w:color w:val="000000"/>
          <w:sz w:val="24"/>
          <w:szCs w:val="24"/>
          <w:shd w:fill="FFFFFF" w:val="clear"/>
        </w:rPr>
        <w:t>System umożliwia: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pobieranie danych kontrahentów automatycznie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systemu GUS;</w:t>
      </w:r>
    </w:p>
    <w:p>
      <w:pPr>
        <w:pStyle w:val="ZwykytekstVN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bezplikową wymianę danych w zakresie budżetowania z aplikacją do zarządzania cyklem budżetowym (import planów finansowych i eksport sprawozdań budżetowych);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księgowanie dekretów płacowych na podstawie informacji z systemu płacowego;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oznaczanie statusów określających stan prac nad dokumentem (w trakcie opracowywania, gotowy);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 obejmujących dane wszystkich jednostek, zgodnie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nadanymi prawami;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generowanie Jednolitych Plików Kontrolnych (KR, WB, FA, VAT);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drukowanie kilku dokumentów jednocześnie;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zapisywanie szablonów ustawień dla zestawień;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ascii="Arial" w:hAnsi="Arial" w:eastAsiaTheme="minorEastAsia"/>
          <w:color w:val="auto"/>
          <w:sz w:val="24"/>
          <w:szCs w:val="24"/>
        </w:rPr>
        <w:t xml:space="preserve">zdefiniowanie </w:t>
      </w:r>
      <w:r>
        <w:rPr>
          <w:rFonts w:ascii="Arial" w:hAnsi="Arial"/>
          <w:color w:val="auto"/>
          <w:sz w:val="24"/>
          <w:szCs w:val="24"/>
        </w:rPr>
        <w:t>globalnych definicji sprawozdań budżetowych, finansowych, a także wspólnego planu kont</w:t>
      </w:r>
      <w:r>
        <w:rPr>
          <w:rFonts w:eastAsia="" w:ascii="Arial" w:hAnsi="Arial" w:eastAsiaTheme="minorEastAsia"/>
          <w:color w:val="auto"/>
          <w:sz w:val="24"/>
          <w:szCs w:val="24"/>
        </w:rPr>
        <w:t>;</w:t>
      </w:r>
    </w:p>
    <w:p>
      <w:pPr>
        <w:pStyle w:val="Wypunktowanie1NV"/>
        <w:numPr>
          <w:ilvl w:val="0"/>
          <w:numId w:val="5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rejestrowanie czynności wykonywanych przez użytkowników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dzienniku zdarzeń.</w:t>
      </w:r>
    </w:p>
    <w:p>
      <w:pPr>
        <w:pStyle w:val="Heading5"/>
        <w:spacing w:lineRule="auto" w:line="240" w:before="0" w:after="0"/>
        <w:ind w:firstLine="426"/>
        <w:jc w:val="both"/>
        <w:rPr/>
      </w:pPr>
      <w:r>
        <w:rPr>
          <w:rStyle w:val="FontStyle44"/>
          <w:rFonts w:ascii="Arial" w:hAnsi="Arial"/>
          <w:color w:val="auto"/>
          <w:sz w:val="24"/>
          <w:szCs w:val="24"/>
        </w:rPr>
        <w:t>W </w:t>
      </w:r>
      <w:r>
        <w:rPr>
          <w:rFonts w:ascii="Arial" w:hAnsi="Arial"/>
          <w:color w:val="auto"/>
          <w:sz w:val="24"/>
          <w:szCs w:val="24"/>
        </w:rPr>
        <w:t>zakresie dotyczącym obsługi finansowo-księgowej:</w:t>
      </w:r>
    </w:p>
    <w:p>
      <w:pPr>
        <w:pStyle w:val="Heading5"/>
        <w:numPr>
          <w:ilvl w:val="0"/>
          <w:numId w:val="6"/>
        </w:numPr>
        <w:spacing w:lineRule="auto" w:line="240"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modyfikowanie planu kont do własnych potrzeb (bez konieczności uwzględniania klasyfikacji budżetowej, zadania oraz kontrahenta) wraz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funkcją drukowania;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możliwość dekretacji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podziale na klasyfikację budżetową, kontrahenta, rodzaj planu i zadania;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dostęp do bazy kontrahentów ze wszystkich obszarów systemu;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niezależną numerację dokumentów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obrębie dziennika i automatyczną numerację dokumentów;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zamknięcia miesiąca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roku obrachunkowego;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dwustopniowe wprowadzanie dokumentów polegające na: zapisie w trybie możliwej modyfikacji, a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następnie ich księgowania;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kontrolę bilansowania się dokumentu;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tworzenie dokumentu księgowego na podstawie planu finansowego, faktur, raportów kasowych, wyciągów bankowych, not księgowych wraz z możliwością drukowania dokumentu księgowego i jego dekretacji;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możliwość sprawdzenia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poziomu dokumentu księgowego, danych dokumentów źródłowych (np. na fakturze zakupu);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automatyczne otwieranie nowego roku obrachunkowego (mechanizm tworzenia bilansu otwarcia, którego zapisy odpowiadają saldom kont w bilansie zamknięcia) wraz z możliwością przeglądania danych z kolejnych lat obrachunkowych;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wydruków (jednostkowo, zbiorczo, z wybranych jednostek):</w:t>
      </w:r>
    </w:p>
    <w:p>
      <w:pPr>
        <w:pStyle w:val="Wypunktowanie1NV"/>
        <w:numPr>
          <w:ilvl w:val="0"/>
          <w:numId w:val="25"/>
        </w:numPr>
        <w:spacing w:before="0" w:after="0"/>
        <w:ind w:hanging="360" w:left="1418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obrotów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sald oraz obrotów na koncie </w:t>
      </w:r>
      <w:r>
        <w:rPr>
          <w:rFonts w:ascii="Arial" w:hAnsi="Arial"/>
          <w:color w:val="auto"/>
          <w:sz w:val="24"/>
          <w:szCs w:val="24"/>
        </w:rPr>
        <w:t>(wraz z możliwością przejścia z zestawienia obrotów i sald do obrotów na koncie, a następnie do pozycji dokumentu),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kontrola realizacji planu,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sprawozdań budżetowych: Rb-27S, Rb-27ZZ, Rb-28S, RB-30s, Rb-34S, Rb-Z, Rb-N, Rb-50, Rb-UZ wraz z eksportem do Besti@, a także Rb-23, Rb-27, Rb-28,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zestawień rozrachunkowych kontrahentów, sald i wezwań do zapłaty,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sprawozdań finansowych według rozporządzenia (bilans budżetowy rachunek zysków i strat (wariant porównawczy), zestawienie zmian w funduszu jednostki) z eksportem do Besti@, informacja dodatkowa do bilansu,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sprawozdań finansowych według załącznika nr 1 do ustawy (bilans, rachunek zysków i strat (wariant porównawczy)) wraz z zapisem roboczej wersji sprawozdań do pliku XML,</w:t>
      </w:r>
    </w:p>
    <w:p>
      <w:pPr>
        <w:pStyle w:val="NoSpacing"/>
        <w:numPr>
          <w:ilvl w:val="0"/>
          <w:numId w:val="2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zestawień z dokumentów źródłowych, zamówień;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uwzględnianie wprowadzonych wstępnie dokumentów w analizie konta księgowego i analizie wydatków oraz podczas porównywania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planem budżetowym;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kontrolę realizacji wydatków na sprawozdaniu Rb-28S </w:t>
      </w:r>
      <w:r>
        <w:rPr>
          <w:rFonts w:cs="Calibri" w:ascii="Arial" w:hAnsi="Arial"/>
          <w:color w:val="000000"/>
          <w:sz w:val="24"/>
          <w:szCs w:val="24"/>
        </w:rPr>
        <w:t>(ostrzeżenie) oraz szybką analizę kwot wyliczonych na sprawozdaniach: Rb-27s, Rb-27, Rb-28, Rb-2</w:t>
      </w:r>
      <w:r>
        <w:rPr>
          <w:rFonts w:ascii="Arial" w:hAnsi="Arial"/>
          <w:sz w:val="24"/>
          <w:szCs w:val="24"/>
        </w:rPr>
        <w:t>8s, Rb-30s, Rb-34s, Rb-Z, Rb-N;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grupową generację dokumentów księgowych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dokumentów źródłowych;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zapisywanie szablonów ustawień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zestawieniach;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prowadzenie raportów kasowych (RK) oraz dokumentów kasowych (KP, KW) dla kilku kas wraz z możliwością drukowania;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zestawienia wpłat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wypłat kasowych oraz zestawienia środków kasowych wraz z wydrukiem;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wprowadzenie wyciągów bankowych </w:t>
      </w:r>
      <w:r>
        <w:rPr>
          <w:rFonts w:cs="Calibri" w:ascii="Arial" w:hAnsi="Arial"/>
          <w:color w:val="000000"/>
          <w:sz w:val="24"/>
          <w:szCs w:val="24"/>
        </w:rPr>
        <w:t>wraz z możliwością importu wyciągów w formacie MT940 z banków (ING, PKO BP, PeKaO SA, Millenium, Bank Spółdzielczy z grupy BPS lub SGB);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obsługa rachunków płatności masowych i import raportu płatności masowych w formacie SIMP;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podgląd i wydruk sald kontrahentów;</w:t>
      </w:r>
    </w:p>
    <w:p>
      <w:pPr>
        <w:pStyle w:val="Wypunktowanie2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not odsetkowych dla nieterminowych płatności dokumentów sprzedaży i</w:t>
      </w:r>
      <w:r>
        <w:rPr>
          <w:rStyle w:val="FontStyle44"/>
          <w:rFonts w:ascii="Arial" w:hAnsi="Arial"/>
          <w:color w:val="auto"/>
          <w:sz w:val="24"/>
          <w:szCs w:val="24"/>
        </w:rPr>
        <w:t> należności z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dokumentów PK wraz z możliwością drukowania;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tworzenie zestawień: rozrachunkowych, not odsetkowych oraz wezwań do zapłaty;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eksportu przelewów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możliwością tworzenia paczek przelewów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układzie płatności podzielonej i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zwykłej, a także z możliwością uwzględnienia pozycji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paczki przelewów 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tworzonym wyciągu bankowym;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 xml:space="preserve">weryfikację danych </w:t>
      </w:r>
      <w:r>
        <w:rPr>
          <w:rFonts w:ascii="Arial" w:hAnsi="Arial"/>
          <w:sz w:val="24"/>
          <w:szCs w:val="24"/>
        </w:rPr>
        <w:t>kontrahenta w wykazie podatników VAT (KAS), na etapie tworzenia paczki przelewów;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wprowadzanie dokumentów sprzedaży i ich korekt wraz z możliwością wydruku oraz dokumentów zakupu (wraz możliwością oznaczania pozycji faktury zakupu współczynnikiem proporcji (art. 86 ustawy o VAT), a także sposobem opodatkowania (zakup związany ze sprzedażą));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tworzenie zestawienia dokumentów sprzedaży, zakupów, not księgowych wraz z wydrukiem;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kontrolowanie realizacji planu we wprowadzonym dokumencie zakupu;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faktur realizowanych płatnością podzieloną (split payment);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/>
      </w:pP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obsługę umów sprzedaży wraz z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eastAsia="" w:cs="" w:ascii="Arial" w:hAnsi="Arial" w:cstheme="minorBidi" w:eastAsiaTheme="minorEastAsia"/>
          <w:color w:val="auto"/>
          <w:sz w:val="24"/>
          <w:szCs w:val="24"/>
        </w:rPr>
        <w:t>automatycznym generowaniem dokumentów sprzedaży;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obsługę rekompensat 40/70/100 euro za koszty odzyskiwania należności;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obsługę not księgowych własnych i obcych;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obsługę zaliczek (wnioski i rozliczenie zaliczki);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prowadzenie listy zamówień publicznych wraz z przypisywaniem zamówienia do dokumentu zakupu oraz tworzeniem zestawienia z realizacji zamówień, a także danymi do druku ZP-SR;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prowadzenie ewidencji cząstkowej VAT i rejestru dokumentów sprzedaży i zakupu, wraz z możliwością drukowania dla każdej jednostki;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możliwość tworzenia wielu wersji ewidencji VAT dla każdej jednostki;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tworzenie pliku JPK_V7M (format ustrukturyzowany) wraz z możliwością określenia zawartości pliku (ewidencja z deklaracją, tylko deklaracja, tylko ewidencja), a także w celu złożenia (po raz pierwszy, korekta) oraz tworzenie pliku JPK_V7M cząstkowego z danymi w części deklaracyjnej w groszach;</w:t>
      </w:r>
    </w:p>
    <w:p>
      <w:pPr>
        <w:pStyle w:val="Wypunktowanie1NV"/>
        <w:numPr>
          <w:ilvl w:val="0"/>
          <w:numId w:val="6"/>
        </w:numPr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generowanie pliku PDF podsumowującego dla podatku od towarów i usług (rozliczenie podatku należnego i naliczonego), w ujęciu do pełnych złotych i w groszach</w:t>
      </w:r>
      <w:r>
        <w:rPr>
          <w:rFonts w:eastAsia="" w:ascii="Arial" w:hAnsi="Arial" w:eastAsiaTheme="minorEastAsia"/>
          <w:color w:val="auto"/>
          <w:sz w:val="24"/>
          <w:szCs w:val="24"/>
        </w:rPr>
        <w:t>.</w:t>
      </w:r>
    </w:p>
    <w:p>
      <w:pPr>
        <w:pStyle w:val="NoSpacing"/>
        <w:numPr>
          <w:ilvl w:val="0"/>
          <w:numId w:val="3"/>
        </w:numPr>
        <w:ind w:hanging="436" w:left="7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System kadrowy i płacowy</w:t>
      </w:r>
    </w:p>
    <w:p>
      <w:pPr>
        <w:pStyle w:val="Normal"/>
        <w:spacing w:lineRule="auto" w:line="240" w:before="0" w:after="0"/>
        <w:ind w:left="426"/>
        <w:jc w:val="both"/>
        <w:rPr/>
      </w:pPr>
      <w:r>
        <w:rPr>
          <w:rFonts w:eastAsia="Calibri" w:cs="Calibri" w:ascii="Arial" w:hAnsi="Arial"/>
          <w:sz w:val="24"/>
          <w:szCs w:val="24"/>
        </w:rPr>
        <w:t>System dostarcza funkcje ułatwiające naliczanie płac, uwzględniając specyficzne zasady naliczania wynagrodzeń nauczycieli. Uwzględnia obowiązujące przepisy prawne takie jak naliczanie składek na ubezpieczenia społeczne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zdrowotne, ustalanie zaliczki na podatek dochodowy od osób fizycznych. System ma na celu również obsługę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automatyczną kontrolę formalnej poprawności zbieranych dokumentacji kadrowych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oświacie.</w:t>
      </w:r>
    </w:p>
    <w:p>
      <w:pPr>
        <w:pStyle w:val="NoSpacing"/>
        <w:ind w:firstLine="426"/>
        <w:jc w:val="both"/>
        <w:rPr/>
      </w:pPr>
      <w:r>
        <w:rPr>
          <w:rStyle w:val="normaltextrun"/>
          <w:rFonts w:eastAsia="Calibri" w:cs="Calibri" w:ascii="Arial" w:hAnsi="Arial"/>
          <w:sz w:val="24"/>
          <w:szCs w:val="24"/>
          <w:shd w:fill="FFFFFF" w:val="clear"/>
        </w:rPr>
        <w:t>System umożliwia</w:t>
      </w:r>
      <w:r>
        <w:rPr>
          <w:rFonts w:eastAsia="Calibri" w:cs="Calibri" w:ascii="Arial" w:hAnsi="Arial"/>
          <w:sz w:val="24"/>
          <w:szCs w:val="24"/>
        </w:rPr>
        <w:t>:</w:t>
      </w:r>
    </w:p>
    <w:p>
      <w:pPr>
        <w:pStyle w:val="Heading5"/>
        <w:spacing w:lineRule="auto" w:line="240" w:before="0" w:after="0"/>
        <w:ind w:firstLine="426"/>
        <w:jc w:val="both"/>
        <w:rPr/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ascii="Arial" w:hAnsi="Arial"/>
          <w:color w:val="auto"/>
          <w:sz w:val="24"/>
          <w:szCs w:val="24"/>
        </w:rPr>
        <w:t>zakresie dotyczącym obsługi kadrowej: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rejestrowanie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przetwarzanie danych kadrowych pracowników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zleceniobiorców;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gromadzenie: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danych osobowych w zakresie wymaganym przez przepisy dla dokumentacji pracowniczej,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danych dotyczących umów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pracę wraz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rejestracją zmian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zatrudnieniu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okresie pozostawania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stosunku pracy,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informacji takich jak np. terminy badań okresowych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wymaganych szkoleń BHP,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informacji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rodzinie pracownika dla potrzeb ustalania prawa do świadczeń,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danych dotyczących umów cywilnoprawnych;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uwzględnianie odmiennych zasad zatrudniania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wynagradzania nauczycieli oraz pracowników nie będących nauczycielami (administracja, obsługa);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" w:cs="" w:ascii="Arial" w:hAnsi="Arial" w:cstheme="minorEastAsia" w:eastAsiaTheme="minorEastAsia"/>
          <w:sz w:val="24"/>
          <w:szCs w:val="24"/>
        </w:rPr>
        <w:t>rejestrowanie absencji pracowników oraz sporządzanie zestawień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" w:cs="" w:ascii="Arial" w:hAnsi="Arial" w:cstheme="minorEastAsia" w:eastAsiaTheme="minorEastAsia"/>
          <w:sz w:val="24"/>
          <w:szCs w:val="24"/>
        </w:rPr>
        <w:t>statystyki;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" w:cs="" w:ascii="Arial" w:hAnsi="Arial" w:cstheme="minorEastAsia" w:eastAsiaTheme="minorEastAsia"/>
          <w:sz w:val="24"/>
          <w:szCs w:val="24"/>
        </w:rPr>
        <w:t>kontrolę terminów np. wypłat nagród jubileuszowych, ważności książeczek zdrowia,</w:t>
      </w:r>
      <w:r>
        <w:rPr>
          <w:rFonts w:eastAsia="Calibri" w:cs="Calibri" w:ascii="Arial" w:hAnsi="Arial"/>
          <w:sz w:val="24"/>
          <w:szCs w:val="24"/>
        </w:rPr>
        <w:t xml:space="preserve"> okresowych badań lekarskich;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kontrolę przekroczenia limitów wprowadzonych absencji;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tworzenie, na podstawie danych zgromadzonych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systemie, raportów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zestawień;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dostarczenie danych niezbędnych do wypełniania sprawozdań GUS w zakresie danych kadrowych;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przekazanie danych do oprogramowania płacowego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księgowego;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dostarczanie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postaci elektronicznej:</w:t>
      </w:r>
    </w:p>
    <w:p>
      <w:pPr>
        <w:pStyle w:val="ListParagraph"/>
        <w:numPr>
          <w:ilvl w:val="0"/>
          <w:numId w:val="24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dokumentów zgłoszeniowych do ubezpieczeń dla systemu „Płatnik”,</w:t>
      </w:r>
    </w:p>
    <w:p>
      <w:pPr>
        <w:pStyle w:val="ListParagraph"/>
        <w:numPr>
          <w:ilvl w:val="0"/>
          <w:numId w:val="24"/>
        </w:numPr>
        <w:tabs>
          <w:tab w:val="clear" w:pos="708"/>
          <w:tab w:val="left" w:pos="1418" w:leader="none"/>
        </w:tabs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danych kadrowych wymaganych w raporcie dla Systemu Informacji Oświatowej;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sz w:val="24"/>
          <w:szCs w:val="24"/>
        </w:rPr>
        <w:t>importowanie elektronicznych zwolnień lekarskich (e-ZLA)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portalu ZUS;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przygotowywanie gotowych wzorów wydruków dokumentów kadrowych;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pracę na wspólnej bazie danych z programem do obsługi płacowej, dzięki czemu danych wprowadzonych w systemie kadrowym nie trzeba ponownie wprowadzać do systemu płacowego.</w:t>
      </w:r>
    </w:p>
    <w:p>
      <w:pPr>
        <w:pStyle w:val="Heading5"/>
        <w:spacing w:lineRule="auto" w:line="240" w:before="0" w:after="0"/>
        <w:ind w:left="567"/>
        <w:jc w:val="both"/>
        <w:rPr/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Style w:val="FontStyle44"/>
          <w:rFonts w:ascii="Arial" w:hAnsi="Arial"/>
          <w:color w:val="auto"/>
          <w:sz w:val="24"/>
          <w:szCs w:val="24"/>
        </w:rPr>
        <w:t> </w:t>
      </w:r>
      <w:r>
        <w:rPr>
          <w:rFonts w:ascii="Arial" w:hAnsi="Arial"/>
          <w:color w:val="auto"/>
          <w:sz w:val="24"/>
          <w:szCs w:val="24"/>
        </w:rPr>
        <w:t>zakresie dotyczącym obsługi płacowej: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pobieranie danych osobowych oraz danych dotyczące umów pracowniczych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cywilnoprawnych z systemu obsługującego kadry pracującego na wspólnej bazie danych;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prowadzenia</w:t>
      </w:r>
      <w:r>
        <w:rPr>
          <w:rFonts w:eastAsia="Calibri" w:ascii="Arial" w:hAnsi="Arial"/>
          <w:sz w:val="24"/>
          <w:szCs w:val="24"/>
        </w:rPr>
        <w:t xml:space="preserve"> </w:t>
      </w:r>
      <w:r>
        <w:rPr>
          <w:rFonts w:cs="Times New Roman" w:ascii="Arial" w:hAnsi="Arial"/>
          <w:color w:val="000000"/>
          <w:sz w:val="24"/>
          <w:szCs w:val="24"/>
        </w:rPr>
        <w:t>wspólnych zasad naliczania płac we wszystkich podległych jednostkach;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sporządzanie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drukowanie list wypłat, comiesięcznych oraz sporadycznych, np. wypłata nagród, składników socjalnych;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przypisywanie kilku rozdziałów klasyfikacji budżetowej do jednej umowy pracownika (w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sytuacji, kiedy pracownik realizuje etat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więcej niż jednym rozdziale);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wykazywanie na listach wypłat należnych składników wynagrodzenia lub świadczenia oraz naliczonych od nich składek na ubezpieczenia społeczne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ubezpieczenie zdrowotne, a także zaliczka na podatek dochodowy od osób fizycznych;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rejestrowanie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rozliczanie na liście płac potrąceń własnych pracownika, np. składka na Związki Zawodowe, spłata pożyczki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Kasy Zapomogowo-Pożyczkowej;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dokonywanie wyrównania wypłacanego wynagrodzenia za dowolne miesiące;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automatyczne wyliczanie godzin nadliczbowych pracowników niepedagogicznych;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rozliczanie nieobecności dla umów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pracę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umów cywilnoprawnych;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eksportowanie: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comiesięcznych dokumentów rozliczeniowych do ZUS za pomocą systemu „Płatnik”,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ind w:hanging="360" w:left="1418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wypłat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potrąceń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układzie klasyfikacji budżetowej do systemu księgowego,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przelewów do bankowości elektronicznej,</w:t>
      </w:r>
    </w:p>
    <w:p>
      <w:pPr>
        <w:pStyle w:val="ListParagraph"/>
        <w:numPr>
          <w:ilvl w:val="0"/>
          <w:numId w:val="22"/>
        </w:numPr>
        <w:spacing w:lineRule="auto" w:line="240" w:before="0" w:after="0"/>
        <w:ind w:hanging="360" w:left="1418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danych do Systemu Informacji Oświatowej;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tworzenie, na podstawie danych zgromadzonych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systemie, raportów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 xml:space="preserve">zestawień dla potrzeb analiz </w:t>
      </w:r>
      <w:r>
        <w:rPr>
          <w:rFonts w:eastAsia="" w:cs="" w:ascii="Arial" w:hAnsi="Arial" w:cstheme="minorEastAsia" w:eastAsiaTheme="minorEastAsia"/>
          <w:sz w:val="24"/>
          <w:szCs w:val="24"/>
        </w:rPr>
        <w:t>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sprawozdawczości z wybranej lub wielu jednostek;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dostarczanie danych niezbędnych do wypełniania sprawozdań GUS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zakresie danych o zatrudnieniu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czasie pracy;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dostarczanie danych do sporządzania przelewów oraz formularzy PIT (PIT-11, PIT-4R, PIT-8AR);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wygenerowanie formularzy IFT-1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IFT-1R;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wysyłkę danych do systemu e-Deklaracje;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sz w:val="24"/>
          <w:szCs w:val="24"/>
        </w:rPr>
        <w:t>importowanie elektronicznych zwolnień lekarskich (e-ZLA)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portalu ZUS;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obsłużenie procesu Pracowniczych Planów Kapitałowych;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przygotowanie danych do naliczeń jednorazowego dodatku uzupełniającego;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/>
      </w:pPr>
      <w:r>
        <w:rPr>
          <w:rFonts w:eastAsia="Calibri" w:cs="Calibri" w:ascii="Arial" w:hAnsi="Arial"/>
          <w:sz w:val="24"/>
          <w:szCs w:val="24"/>
        </w:rPr>
        <w:t>import godzin ponadwymiarowych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dziennika elektronicznego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eastAsia="Calibri" w:cs="Calibri" w:ascii="Arial" w:hAnsi="Arial"/>
          <w:sz w:val="24"/>
          <w:szCs w:val="24"/>
        </w:rPr>
        <w:t>pliku XLS;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eksport przelewów do systemów bankowych;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wymianę e-Deklaracji;</w:t>
      </w:r>
    </w:p>
    <w:p>
      <w:pPr>
        <w:pStyle w:val="NoSpacing"/>
        <w:numPr>
          <w:ilvl w:val="0"/>
          <w:numId w:val="9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eksport danych do Płatnika, GUS, SIO;</w:t>
      </w:r>
    </w:p>
    <w:p>
      <w:pPr>
        <w:pStyle w:val="NoSpacing"/>
        <w:numPr>
          <w:ilvl w:val="0"/>
          <w:numId w:val="9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rejestr zmian.</w:t>
      </w:r>
    </w:p>
    <w:p>
      <w:pPr>
        <w:pStyle w:val="NoSpacing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Nadzór kadrowy</w:t>
      </w:r>
    </w:p>
    <w:p>
      <w:pPr>
        <w:pStyle w:val="Normal"/>
        <w:spacing w:lineRule="auto" w:line="240" w:before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System przeglądarkowy przeznaczony dla osób zarządzających placówkami oświatowymi umożliwia uruchomienie systemu kadrowego dla wszystkich podległych jednostek w ramach jednej Platformy oraz co się z tym wiąże, centralne zarządzanie słownikami oraz parametrami konfiguracji systemu, w celu uwspólnienia zasad prowadzenia dokumentacji kadrowej. System umożliwia również uruchomienie systemu kadrowego dla jednostek oświatowych na wspólnej bazie danych z systemem płacowym obsługiwanym przez Zamawiającego.</w:t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ind w:hanging="436" w:left="72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System Inwentarz</w:t>
      </w:r>
    </w:p>
    <w:p>
      <w:pPr>
        <w:pStyle w:val="NoSpacing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System wspierający prowadzenie ilościowej ewidencji majątku dla jednostki oświatowej oraz centrum usług wspólnych. System jest wsparciem w pracach związanych z prowadzeniem ksiąg inwentarzowych. Umożliwia kontrolowanie stanu majątku oraz przeprowadzenie inwentaryzacji. Posiada dedykowaną aplikację mobilną umożliwiającą skanowanie kodów i wypełnianie arkuszy spisowych.</w:t>
      </w:r>
    </w:p>
    <w:p>
      <w:pPr>
        <w:pStyle w:val="NoSpacing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eastAsia="Calibri" w:cs="Calibri" w:ascii="Arial" w:hAnsi="Arial"/>
          <w:sz w:val="24"/>
          <w:szCs w:val="24"/>
        </w:rPr>
        <w:t>System:</w:t>
      </w:r>
    </w:p>
    <w:p>
      <w:pPr>
        <w:pStyle w:val="NoSpacing"/>
        <w:numPr>
          <w:ilvl w:val="0"/>
          <w:numId w:val="30"/>
        </w:numPr>
        <w:jc w:val="both"/>
        <w:rPr>
          <w:rFonts w:ascii="Arial" w:hAnsi="Arial"/>
          <w:sz w:val="24"/>
          <w:szCs w:val="24"/>
        </w:rPr>
      </w:pPr>
      <w:r>
        <w:rPr>
          <w:rFonts w:eastAsia="" w:ascii="Arial" w:hAnsi="Arial" w:eastAsiaTheme="minorEastAsia"/>
          <w:sz w:val="24"/>
          <w:szCs w:val="24"/>
        </w:rPr>
        <w:t>j</w:t>
      </w:r>
      <w:r>
        <w:rPr>
          <w:rFonts w:eastAsia="" w:ascii="Arial" w:hAnsi="Arial" w:eastAsiaTheme="minorEastAsia"/>
          <w:sz w:val="24"/>
          <w:szCs w:val="24"/>
          <w:lang w:eastAsia="pl-PL"/>
        </w:rPr>
        <w:t>est dostępny za pośrednictwem przeglądarki internetowej przy wykorzystaniu nazwy użytkownika i hasła;</w:t>
      </w:r>
    </w:p>
    <w:p>
      <w:pPr>
        <w:pStyle w:val="NoSpacing"/>
        <w:numPr>
          <w:ilvl w:val="0"/>
          <w:numId w:val="30"/>
        </w:numPr>
        <w:jc w:val="both"/>
        <w:rPr>
          <w:rFonts w:ascii="Arial" w:hAnsi="Arial"/>
          <w:sz w:val="24"/>
          <w:szCs w:val="24"/>
        </w:rPr>
      </w:pPr>
      <w:r>
        <w:rPr>
          <w:rFonts w:eastAsia="" w:ascii="Arial" w:hAnsi="Arial" w:eastAsiaTheme="minorEastAsia"/>
          <w:sz w:val="24"/>
          <w:szCs w:val="24"/>
          <w:lang w:eastAsia="pl-PL"/>
        </w:rPr>
        <w:t>pobiera dane z centralnego rejestru jednostek i użytkowników.</w:t>
      </w:r>
    </w:p>
    <w:p>
      <w:pPr>
        <w:pStyle w:val="NoSpacing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System umożliwia: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prowadzenie ksiąg inwentarzowych (ewidencja przychodów i rozchodów);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stworzenie dedykowanych szablonów dokumentów;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zaprojektowanie etykiet;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podział składników majątku na środki trwałe, pozostałe środki trwałe, wartości niematerialne i prawne, wyposażenie;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automatyczne nadawanie numerów inwentarzowych;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przypisanie opiekuna i odpowiedzialnego za składniki majątku;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stworzenie struktury kilkustopniowego umiejscowienia;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wgląd do historii dodawanych dokumentów;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wykonanie zestawienia posiadanego majątku na określony dzień;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wspomaganie inwentaryzacji (generowanie arkusza spisowego, wyliczanie różnic inwentaryzacyjnych);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przeprowadzenie inwentaryzacji za pomocą aplikacji mobilnej;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drukowanie kodów kreskowych;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przekazywanie odpowiedzialności za sprzęt pracownikom, zmiany miejsca użytkowania oraz generowanie dokumentów dla tych operacji;</w:t>
      </w:r>
    </w:p>
    <w:p>
      <w:pPr>
        <w:pStyle w:val="NoSpacing"/>
        <w:numPr>
          <w:ilvl w:val="0"/>
          <w:numId w:val="31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drukowanie wykazu wyposażenia znajdującego się w pomieszczeniu.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Wymienione powyżej aplikacje muszą:</w:t>
      </w:r>
    </w:p>
    <w:p>
      <w:pPr>
        <w:pStyle w:val="ListParagraph"/>
        <w:numPr>
          <w:ilvl w:val="0"/>
          <w:numId w:val="11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sz w:val="24"/>
          <w:szCs w:val="24"/>
        </w:rPr>
        <w:t>zapewniać znaczącą możliwość powiększenia strony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</w:rPr>
        <w:t>czcionki;</w:t>
      </w:r>
    </w:p>
    <w:p>
      <w:pPr>
        <w:pStyle w:val="ListParagraph"/>
        <w:numPr>
          <w:ilvl w:val="0"/>
          <w:numId w:val="11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umożliwiać dostęp oraz poprawne działanie na różnych przeglądarkach internetowych w najnowszych wersjach: Google Chrome, Firefox, Microsoft Edge;</w:t>
      </w:r>
    </w:p>
    <w:p>
      <w:pPr>
        <w:pStyle w:val="ListParagraph"/>
        <w:numPr>
          <w:ilvl w:val="0"/>
          <w:numId w:val="11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być łatwe w obsłudze </w:t>
      </w:r>
      <w:r>
        <w:rPr>
          <w:rFonts w:cs="Times New Roman" w:ascii="Arial" w:hAnsi="Arial"/>
          <w:color w:val="000000"/>
          <w:sz w:val="24"/>
          <w:szCs w:val="24"/>
        </w:rPr>
        <w:t xml:space="preserve">dla użytkownika oraz administratora. </w:t>
      </w:r>
      <w:r>
        <w:rPr>
          <w:rFonts w:ascii="Arial" w:hAnsi="Arial"/>
          <w:sz w:val="24"/>
          <w:szCs w:val="24"/>
        </w:rPr>
        <w:t>Obsługa platformy nie może wymagać posiadania specjalistycznej wiedzy informatycznej.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/>
      </w:pPr>
      <w:r>
        <w:rPr>
          <w:rFonts w:ascii="Arial" w:hAnsi="Arial"/>
          <w:b/>
          <w:bCs/>
          <w:sz w:val="24"/>
          <w:szCs w:val="24"/>
        </w:rPr>
        <w:t>Ponadto pomiędzy aplikacjami powinna być możliwość przepływu informacji i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bCs/>
          <w:sz w:val="24"/>
          <w:szCs w:val="24"/>
        </w:rPr>
        <w:t>wymiany danych</w:t>
      </w:r>
      <w:r>
        <w:rPr>
          <w:rFonts w:ascii="Arial" w:hAnsi="Arial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Wymiana danych między systemem finansowo-księgowym a </w:t>
      </w:r>
      <w:bookmarkStart w:id="0" w:name="_GoBack"/>
      <w:bookmarkEnd w:id="0"/>
      <w:r>
        <w:rPr>
          <w:rFonts w:ascii="Arial" w:hAnsi="Arial"/>
          <w:sz w:val="24"/>
          <w:szCs w:val="24"/>
        </w:rPr>
        <w:t>systemem do planowania i zatwierdzania organizacji oraz zarządzania budżetem w jednostkach oświatowych (wraz z systemem raportowania) będzie polegała na:</w:t>
      </w:r>
    </w:p>
    <w:p>
      <w:pPr>
        <w:pStyle w:val="ListParagraph"/>
        <w:numPr>
          <w:ilvl w:val="0"/>
          <w:numId w:val="39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imporcie planów finansowych z systemu do planowania i zatwierdzania organizacji oraz zarządzania budżetem w jednostkach oświatowych użytkowanym przez Miasto Włocławek do systemu finansowo – księgowego/finansowego;</w:t>
      </w:r>
    </w:p>
    <w:p>
      <w:pPr>
        <w:pStyle w:val="ListParagraph"/>
        <w:numPr>
          <w:ilvl w:val="0"/>
          <w:numId w:val="39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eksporcie sprawozdań budżetowych i finansowych z systemu finansowo – księgowego/finansowego do systemu do planowania i zatwierdzania organizacji oraz zarządzania budżetem w jednostkach oświatowych użytkowanym przez Miasto Włocławek;</w:t>
      </w:r>
    </w:p>
    <w:p>
      <w:pPr>
        <w:pStyle w:val="ListParagraph"/>
        <w:numPr>
          <w:ilvl w:val="0"/>
          <w:numId w:val="39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eksporcie z systemu finansowo – księgowego/finansowego do systemu do planowania i zatwierdzania organizacji oraz zarządzania budżetem w jednostkach oświatowych użytkowanym przez Miasto Włocławek sprawozdań Rb-27s, Rb-28s, Rb-27ZZ, Rb-50, Rb-34s, Rb-Z, Rb-N oraz sprawozdań finansowych: bilans, rachunek zysków i strat, zestawienie zmian w funduszu;</w:t>
      </w:r>
    </w:p>
    <w:p>
      <w:pPr>
        <w:pStyle w:val="ListParagraph"/>
        <w:numPr>
          <w:ilvl w:val="0"/>
          <w:numId w:val="39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eksporcie sprawozdań budżetowych i finansowych do sytemu BeSTi@.</w:t>
      </w:r>
    </w:p>
    <w:p>
      <w:pPr>
        <w:pStyle w:val="NoSpacing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Ogólnie system powinien: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wdrażać nowe e-usługi oraz modernizować e-usługi obecnie funkcjonujące w zakresie umożliwiającym sprawne i efektywne świadczenie e-usług dla użytkowników zewnętrznych (np. obywateli), jak i użytkowników wewnętrznych (np. pracowników JST, szkół);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być zgodny z aktualnymi przepisami prawnymi;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mieć budowę modułową zapewniającą integrację jego elementów oraz prowadzenie modułów przez pracowników urzędu i szkół, w ramach ich codziennych obowiązków;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umożliwiać rejestrację informacji tworzonych przez odpowiedzialne komórki, w sposób pozwalający na ich wykorzystanie przez inne podmioty i komórki organizacyjne;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zapewniać bezpieczeństwo, szybkość przepływu i aktualność zgromadzonych w nim informacji;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posiadać narzędzia administrowania systemu zapewniające zarządzanie modułami systemu i danymi, zgodnie z kompetencjami JST i jednostek;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umożliwiać prowadzenie i aktualizowanie danych przez poszczególnych użytkowników modułów systemu, zajmujących się określonymi tematami;</w:t>
      </w:r>
    </w:p>
    <w:p>
      <w:pPr>
        <w:pStyle w:val="NoSpacing"/>
        <w:numPr>
          <w:ilvl w:val="0"/>
          <w:numId w:val="2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posiadać zainicjowane słowniki:</w:t>
      </w:r>
    </w:p>
    <w:p>
      <w:pPr>
        <w:pStyle w:val="NoSpacing"/>
        <w:numPr>
          <w:ilvl w:val="0"/>
          <w:numId w:val="21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administracyjne, np. Banki, Urzędy Skarbowe, Oddziały NFZ,</w:t>
      </w:r>
    </w:p>
    <w:p>
      <w:pPr>
        <w:pStyle w:val="NoSpacing"/>
        <w:numPr>
          <w:ilvl w:val="0"/>
          <w:numId w:val="21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adresowe w zakresie integracji z TERYT.</w:t>
      </w:r>
    </w:p>
    <w:p>
      <w:pPr>
        <w:pStyle w:val="Normal"/>
        <w:shd w:val="clear" w:color="auto" w:fill="FFFFFF"/>
        <w:spacing w:lineRule="auto" w:line="480" w:before="240" w:after="0"/>
        <w:ind w:firstLine="66" w:left="360"/>
        <w:jc w:val="both"/>
        <w:rPr/>
      </w:pPr>
      <w:r>
        <w:rPr>
          <w:rFonts w:ascii="Arial" w:hAnsi="Arial"/>
          <w:b/>
          <w:sz w:val="24"/>
          <w:szCs w:val="24"/>
        </w:rPr>
        <w:t>Szczegółowe ustalenia będzie zawierała umowa zawarta z</w:t>
      </w:r>
      <w:r>
        <w:rPr>
          <w:rStyle w:val="FontStyle44"/>
          <w:rFonts w:ascii="Arial" w:hAnsi="Arial"/>
          <w:b/>
          <w:sz w:val="24"/>
          <w:szCs w:val="24"/>
        </w:rPr>
        <w:t xml:space="preserve"> wybranym </w:t>
      </w:r>
      <w:r>
        <w:rPr>
          <w:rFonts w:ascii="Arial" w:hAnsi="Arial"/>
          <w:b/>
          <w:sz w:val="24"/>
          <w:szCs w:val="24"/>
        </w:rPr>
        <w:t>Wykonawcą.</w:t>
      </w:r>
    </w:p>
    <w:p>
      <w:pPr>
        <w:pStyle w:val="Normal"/>
        <w:shd w:val="clear" w:color="auto" w:fill="FFFFFF"/>
        <w:spacing w:lineRule="auto" w:line="240" w:before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Załącznikiem do umowy musi być wyżej wymieniony opis przedmiotu zamówienia.</w:t>
      </w:r>
    </w:p>
    <w:p>
      <w:pPr>
        <w:pStyle w:val="Normal"/>
        <w:shd w:val="clear" w:color="auto" w:fill="FFFFFF"/>
        <w:spacing w:lineRule="auto" w:line="240" w:before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Podczas całego procesu wdrożenia systemu musi być zapewniona pomoc w obsłudze platformy oraz szkolenia stacjonarne/online dla pracowników wszystkich 48 jednostek oświatowych.</w:t>
      </w:r>
    </w:p>
    <w:p>
      <w:pPr>
        <w:pStyle w:val="NoSpacing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Szkolenia z aplikacji.</w:t>
      </w:r>
    </w:p>
    <w:p>
      <w:pPr>
        <w:pStyle w:val="NoSpacing"/>
        <w:numPr>
          <w:ilvl w:val="0"/>
          <w:numId w:val="27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Ogólnie.</w:t>
      </w:r>
    </w:p>
    <w:p>
      <w:pPr>
        <w:pStyle w:val="NoSpacing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Możliwość realizacji wszystkich bądź wybranych szkoleń dla pracowników obsługujących system, a także możliwość wspólnego ustalenia harmonogramu szkoleń.</w:t>
      </w:r>
    </w:p>
    <w:p>
      <w:pPr>
        <w:pStyle w:val="NoSpacing"/>
        <w:ind w:firstLine="784" w:left="350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W ramach szkoleń z systemu:</w:t>
      </w:r>
    </w:p>
    <w:p>
      <w:pPr>
        <w:pStyle w:val="NoSpacing"/>
        <w:numPr>
          <w:ilvl w:val="0"/>
          <w:numId w:val="28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każdy uczestnik powinien otrzymać materiały szkoleniowe,</w:t>
      </w:r>
    </w:p>
    <w:p>
      <w:pPr>
        <w:pStyle w:val="NoSpacing"/>
        <w:numPr>
          <w:ilvl w:val="0"/>
          <w:numId w:val="28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 xml:space="preserve">zajęcia powinny odbywać się w godzinach od godz. </w:t>
      </w:r>
      <w:r>
        <w:rPr>
          <w:rFonts w:ascii="Arial" w:hAnsi="Arial"/>
          <w:sz w:val="24"/>
          <w:szCs w:val="24"/>
        </w:rPr>
        <w:t>9:00 do 14:00</w:t>
      </w:r>
      <w:r>
        <w:rPr>
          <w:rFonts w:cs="Calibri" w:ascii="Arial" w:hAnsi="Arial"/>
          <w:sz w:val="24"/>
          <w:szCs w:val="24"/>
        </w:rPr>
        <w:t xml:space="preserve"> i nie będą trwają dłużej niż 5 godzin zegarowych dziennie,</w:t>
      </w:r>
    </w:p>
    <w:p>
      <w:pPr>
        <w:pStyle w:val="NoSpacing"/>
        <w:numPr>
          <w:ilvl w:val="0"/>
          <w:numId w:val="28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zajęcia powinny odbywać się w formie stacjonarnej i online (instruktaż/szkolenie z grupą szkoleniową w czasie rzeczywistym, on-line, za pomocą elektronicznych środków komunikacji na odległość),</w:t>
      </w:r>
    </w:p>
    <w:p>
      <w:pPr>
        <w:pStyle w:val="NoSpacing"/>
        <w:numPr>
          <w:ilvl w:val="0"/>
          <w:numId w:val="28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zajęcia powinny być prowadzone metodą warsztatów aktywizującą uczestników szkoleń,</w:t>
      </w:r>
    </w:p>
    <w:p>
      <w:pPr>
        <w:pStyle w:val="NoSpacing"/>
        <w:numPr>
          <w:ilvl w:val="0"/>
          <w:numId w:val="28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grupy szkoleniowe powinny liczyć nie więcej niż 15 osób.</w:t>
      </w:r>
    </w:p>
    <w:p>
      <w:pPr>
        <w:pStyle w:val="NoSpacing"/>
        <w:numPr>
          <w:ilvl w:val="0"/>
          <w:numId w:val="27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Merytorycznie.</w:t>
      </w:r>
    </w:p>
    <w:p>
      <w:pPr>
        <w:pStyle w:val="NoSpacing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/>
          <w:sz w:val="24"/>
          <w:szCs w:val="24"/>
        </w:rPr>
        <w:t>Możliwość realizacji szkoleń dla użytkowników systemu w wybranym zakresie.</w:t>
      </w:r>
    </w:p>
    <w:p>
      <w:pPr>
        <w:pStyle w:val="NoSpacing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Obsługa zgłoszeń (awarii) dotyczących tego systemu powinna przebiegać na następujących zasadach: </w:t>
      </w:r>
    </w:p>
    <w:p>
      <w:pPr>
        <w:pStyle w:val="NoSpacing"/>
        <w:numPr>
          <w:ilvl w:val="0"/>
          <w:numId w:val="26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typ zgłoszenia A – awarie, w przypadku których aplikacja nie uruchamia się oraz w przypadku, gdy nie działa główna funkcjonalność w okresie, w którym przepisy powszechnie obowiązującego prawa wymuszają jej użycie i brak jest obejścia dla takiej awarii – do 2 dni roboczych;</w:t>
      </w:r>
    </w:p>
    <w:p>
      <w:pPr>
        <w:pStyle w:val="NoSpacing"/>
        <w:numPr>
          <w:ilvl w:val="0"/>
          <w:numId w:val="26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typ zgłoszenia B – awarie, gdy nie działa główna funkcjonalność w okresie, w którym przepisy powszechnie obowiązującego prawa wymuszają jej użycie i jest tzw. „obejście” – tj. można uzyskać rezultat za pomocą innych działań w systemie – do 7 dni roboczych;</w:t>
      </w:r>
    </w:p>
    <w:p>
      <w:pPr>
        <w:pStyle w:val="NoSpacing"/>
        <w:numPr>
          <w:ilvl w:val="0"/>
          <w:numId w:val="26"/>
        </w:numPr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typ zgłoszenia C – pozostałe błędy Terminy obsługi zgłoszeń ilekroć użyto miary czasu (godziny i dni) należy przez to rozumieć czas roboczy – do 60 dni roboczych.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Zgłoszenia będą dokonywane w dni robocze (poniedziałek – piątek) od godziny 7:30 do 15:30.</w:t>
      </w:r>
    </w:p>
    <w:p>
      <w:pPr>
        <w:pStyle w:val="ListParagraph"/>
        <w:numPr>
          <w:ilvl w:val="0"/>
          <w:numId w:val="12"/>
        </w:numPr>
        <w:spacing w:before="240" w:after="0"/>
        <w:ind w:hanging="284" w:left="284"/>
        <w:contextualSpacing/>
        <w:jc w:val="both"/>
        <w:rPr/>
      </w:pPr>
      <w:r>
        <w:rPr>
          <w:rFonts w:ascii="Arial" w:hAnsi="Arial"/>
          <w:b/>
          <w:bCs/>
          <w:sz w:val="24"/>
          <w:szCs w:val="24"/>
          <w:shd w:fill="FFFFFF" w:val="clear"/>
        </w:rPr>
        <w:t>W</w:t>
      </w:r>
      <w:r>
        <w:rPr>
          <w:rFonts w:ascii="Arial" w:hAnsi="Arial"/>
          <w:b/>
          <w:sz w:val="24"/>
          <w:szCs w:val="24"/>
        </w:rPr>
        <w:t>arunki udziału w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ascii="Arial" w:hAnsi="Arial"/>
          <w:b/>
          <w:sz w:val="24"/>
          <w:szCs w:val="24"/>
        </w:rPr>
        <w:t>postępowaniu:</w:t>
      </w:r>
    </w:p>
    <w:p>
      <w:pPr>
        <w:pStyle w:val="Default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>O</w:t>
      </w:r>
      <w:r>
        <w:rPr>
          <w:rFonts w:ascii="Arial" w:hAnsi="Arial"/>
          <w:color w:val="auto"/>
          <w:sz w:val="24"/>
          <w:szCs w:val="24"/>
        </w:rPr>
        <w:t> </w:t>
      </w:r>
      <w:r>
        <w:rPr>
          <w:rFonts w:ascii="Arial" w:hAnsi="Arial"/>
          <w:bCs/>
          <w:color w:val="auto"/>
          <w:sz w:val="24"/>
          <w:szCs w:val="24"/>
        </w:rPr>
        <w:t xml:space="preserve">udzielenie zamówienia mogą ubiegać się </w:t>
      </w:r>
      <w:r>
        <w:rPr>
          <w:rFonts w:ascii="Arial" w:hAnsi="Arial"/>
          <w:color w:val="auto"/>
          <w:sz w:val="24"/>
          <w:szCs w:val="24"/>
        </w:rPr>
        <w:t>Wykonawcy</w:t>
      </w:r>
      <w:r>
        <w:rPr>
          <w:rFonts w:ascii="Arial" w:hAnsi="Arial"/>
          <w:bCs/>
          <w:color w:val="auto"/>
          <w:sz w:val="24"/>
          <w:szCs w:val="24"/>
        </w:rPr>
        <w:t>, którzy łącznie spełniają poniższe warunki: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są uprawnieni do występowania w obrocie prawnym, zgodnie z wymaganiami ustawowymi;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posiadają uprawnienia niezbędne do wykonania przedmiotu zamówienia wymagane odrębnymi przepisami prawa;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posiadają niezbędny asortyment do wykonania przedmiotu zamówienia;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znajdują się w sytuacji ekonomicznej i finansowej zapewniającej prawidłowe wykonanie przedmiotu zamówienia;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color w:val="000000"/>
          <w:sz w:val="24"/>
          <w:szCs w:val="24"/>
        </w:rPr>
        <w:t>wobec Wykonawcy nie orzeczono prawomocnego zakazu ubiegania się o zamówienia publiczne;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color w:val="000000"/>
          <w:sz w:val="24"/>
          <w:szCs w:val="24"/>
        </w:rPr>
        <w:t>nie posiadają zaległości z opłacaniem podatków i opłat;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color w:val="000000"/>
          <w:sz w:val="24"/>
          <w:szCs w:val="24"/>
        </w:rPr>
        <w:t>nie posiadają zaległości z opłacaniem składek na ubezpieczenia zdrowotne i społeczne;</w:t>
      </w:r>
    </w:p>
    <w:p>
      <w:pPr>
        <w:pStyle w:val="ListParagraph"/>
        <w:numPr>
          <w:ilvl w:val="0"/>
          <w:numId w:val="32"/>
        </w:numPr>
        <w:spacing w:lineRule="auto" w:line="24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są świadomi odpowiedzialności karnej związanej ze składaniem fałszywych oświadczeń w postępowaniu o udzielenie zamówienia publicznego;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shd w:fill="FFFFFF" w:val="clear"/>
        </w:rPr>
        <w:t>zdolność techniczna lub zawodowa</w:t>
      </w:r>
    </w:p>
    <w:p>
      <w:pPr>
        <w:pStyle w:val="ListParagraph"/>
        <w:tabs>
          <w:tab w:val="clear" w:pos="708"/>
          <w:tab w:val="right" w:pos="8820" w:leader="dot"/>
        </w:tabs>
        <w:spacing w:lineRule="auto" w:line="240" w:before="0" w:after="0"/>
        <w:ind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  <w:shd w:fill="FFFFFF" w:val="clear"/>
        </w:rPr>
        <w:t xml:space="preserve">kreślenie warunków: </w:t>
      </w:r>
    </w:p>
    <w:p>
      <w:pPr>
        <w:pStyle w:val="Style14"/>
        <w:numPr>
          <w:ilvl w:val="0"/>
          <w:numId w:val="35"/>
        </w:numPr>
        <w:spacing w:lineRule="auto" w:line="240"/>
        <w:ind w:hanging="360" w:left="1418"/>
        <w:jc w:val="both"/>
        <w:rPr/>
      </w:pPr>
      <w:r>
        <w:rPr>
          <w:rFonts w:ascii="Arial" w:hAnsi="Arial"/>
          <w:sz w:val="24"/>
          <w:szCs w:val="24"/>
          <w:shd w:fill="FFFFFF" w:val="clear"/>
        </w:rPr>
        <w:t>bezwzględne posiadanie wiedzy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doświadczenia niezbędnego do wykonania przedmiotu zamówienia, tj. udokumentowanie wykonania,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okresie ostatnich 5 lat przed upływem terminu składania ofert, a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jeżeli okres prowadzenia działalności jest krótszy –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tym okresie, następujących usług:</w:t>
      </w:r>
    </w:p>
    <w:p>
      <w:pPr>
        <w:pStyle w:val="Style14"/>
        <w:numPr>
          <w:ilvl w:val="0"/>
          <w:numId w:val="33"/>
        </w:numPr>
        <w:spacing w:lineRule="auto" w:line="240"/>
        <w:ind w:hanging="360" w:left="1701"/>
        <w:jc w:val="both"/>
        <w:rPr/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 miesięcy wdrożenia oraz utrzymania aplikacji do obsługi systemu finansowo-księgowego w</w:t>
      </w:r>
      <w:r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szkołach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placówkach oświatowych,</w:t>
      </w:r>
    </w:p>
    <w:p>
      <w:pPr>
        <w:pStyle w:val="Style14"/>
        <w:numPr>
          <w:ilvl w:val="0"/>
          <w:numId w:val="33"/>
        </w:numPr>
        <w:spacing w:lineRule="auto" w:line="240"/>
        <w:ind w:hanging="360" w:left="1701"/>
        <w:jc w:val="both"/>
        <w:rPr/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 miesięcy wdrożenia oraz utrzymania aplikacji do obsługi systemu kadrowego i płacowego w</w:t>
      </w:r>
      <w:r>
        <w:rPr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szkołach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sz w:val="24"/>
          <w:szCs w:val="24"/>
          <w:shd w:fill="FFFFFF" w:val="clear"/>
        </w:rPr>
        <w:t>placówkach oświatowych,</w:t>
      </w:r>
    </w:p>
    <w:p>
      <w:pPr>
        <w:pStyle w:val="ListParagraph"/>
        <w:numPr>
          <w:ilvl w:val="0"/>
          <w:numId w:val="33"/>
        </w:numPr>
        <w:tabs>
          <w:tab w:val="clear" w:pos="708"/>
          <w:tab w:val="right" w:pos="8820" w:leader="dot"/>
        </w:tabs>
        <w:spacing w:lineRule="auto" w:line="240" w:before="0" w:after="0"/>
        <w:ind w:hanging="360" w:left="1701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shd w:fill="FFFFFF" w:val="clear"/>
        </w:rPr>
        <w:t>co najmniej jednej usługi polegającej na świadczeniu przez okres co najmniej 9 miesięcy wdrożenia oraz utrzymania aplikacji do obsługi systemu Inwentarz.</w:t>
      </w:r>
    </w:p>
    <w:p>
      <w:pPr>
        <w:pStyle w:val="Default"/>
        <w:numPr>
          <w:ilvl w:val="0"/>
          <w:numId w:val="35"/>
        </w:numPr>
        <w:ind w:hanging="360" w:left="141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posiadanie dwóch (zespołu) </w:t>
      </w:r>
      <w:r>
        <w:rPr>
          <w:rFonts w:ascii="Arial" w:hAnsi="Arial"/>
          <w:color w:val="auto"/>
          <w:sz w:val="24"/>
          <w:szCs w:val="24"/>
        </w:rPr>
        <w:t>osób zdolnych do </w:t>
      </w:r>
      <w:r>
        <w:rPr>
          <w:rFonts w:ascii="Arial" w:hAnsi="Arial"/>
          <w:sz w:val="24"/>
          <w:szCs w:val="24"/>
        </w:rPr>
        <w:t>wykonania zamówienia:</w:t>
      </w:r>
    </w:p>
    <w:p>
      <w:pPr>
        <w:pStyle w:val="Default"/>
        <w:ind w:left="141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Zamawiający uzna warunek za spełniony, jeżeli Wykonawca wykaże, że dysponuje dwoma doświadczonymi osobami, które zostaną skierowane do realizacji zamówienia, posiadającymi wymagane wykształcenie oraz bezwzględnie wiedzę i doświadczenie w realizacji zadań tożsamych z przedmiotem zamówienia. Każda z osób powinna </w:t>
      </w:r>
      <w:r>
        <w:rPr>
          <w:rFonts w:ascii="Arial" w:hAnsi="Arial"/>
          <w:color w:val="auto"/>
          <w:sz w:val="24"/>
          <w:szCs w:val="24"/>
        </w:rPr>
        <w:t>spełniać następujące warunki:</w:t>
      </w:r>
    </w:p>
    <w:p>
      <w:pPr>
        <w:pStyle w:val="Default"/>
        <w:numPr>
          <w:ilvl w:val="0"/>
          <w:numId w:val="34"/>
        </w:numPr>
        <w:spacing w:before="0" w:after="18"/>
        <w:ind w:hanging="360" w:left="170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wykształcenie: wyższe,</w:t>
      </w:r>
    </w:p>
    <w:p>
      <w:pPr>
        <w:pStyle w:val="Default"/>
        <w:numPr>
          <w:ilvl w:val="0"/>
          <w:numId w:val="34"/>
        </w:numPr>
        <w:spacing w:before="0" w:after="18"/>
        <w:ind w:hanging="360" w:left="1701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doświadczenie: minimum 3-letnią </w:t>
      </w:r>
      <w:r>
        <w:rPr>
          <w:rFonts w:ascii="Arial" w:hAnsi="Arial"/>
          <w:sz w:val="24"/>
          <w:szCs w:val="24"/>
        </w:rPr>
        <w:t>wiedzę i doświadczenie w </w:t>
      </w:r>
      <w:r>
        <w:rPr>
          <w:rFonts w:ascii="Arial" w:hAnsi="Arial"/>
          <w:color w:val="auto"/>
          <w:sz w:val="24"/>
          <w:szCs w:val="24"/>
        </w:rPr>
        <w:t>zakresie realizacji przedmiotu zamówienia, w ciągu ostatnich 5 lat przed upływem terminu składania ofert.</w:t>
      </w:r>
    </w:p>
    <w:p>
      <w:pPr>
        <w:pStyle w:val="Style14"/>
        <w:numPr>
          <w:ilvl w:val="0"/>
          <w:numId w:val="12"/>
        </w:numPr>
        <w:spacing w:lineRule="auto" w:line="276" w:before="240" w:after="0"/>
        <w:ind w:hanging="283" w:left="28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FF" w:val="clear"/>
        </w:rPr>
        <w:t>Wykaz dokumentów jakie mają być złożone wraz z ofertą:</w:t>
      </w:r>
    </w:p>
    <w:p>
      <w:pPr>
        <w:pStyle w:val="Style14"/>
        <w:spacing w:lineRule="auto" w:line="240"/>
        <w:ind w:hanging="0" w:left="426"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Wraz z ofertą Wykonawca dostarcza dokumenty poświadczające spełnienie warunków udziału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postępowaniu.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240" w:after="0"/>
        <w:ind w:hanging="283" w:left="284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Termin wykonania zamówienia:</w:t>
      </w:r>
    </w:p>
    <w:p>
      <w:pPr>
        <w:pStyle w:val="NoSpacing"/>
        <w:numPr>
          <w:ilvl w:val="0"/>
          <w:numId w:val="14"/>
        </w:numPr>
        <w:jc w:val="both"/>
        <w:rPr>
          <w:rFonts w:ascii="Arial" w:hAnsi="Arial"/>
          <w:sz w:val="24"/>
          <w:szCs w:val="24"/>
        </w:rPr>
      </w:pPr>
      <w:r>
        <w:rPr>
          <w:rFonts w:eastAsia="Times New Roman" w:cs="Times New Roman" w:ascii="Arial" w:hAnsi="Arial"/>
          <w:sz w:val="24"/>
          <w:szCs w:val="24"/>
          <w:lang w:eastAsia="pl-PL"/>
        </w:rPr>
        <w:t xml:space="preserve">System </w:t>
      </w:r>
      <w:r>
        <w:rPr>
          <w:rFonts w:ascii="Arial" w:hAnsi="Arial"/>
          <w:sz w:val="24"/>
          <w:szCs w:val="24"/>
        </w:rPr>
        <w:t>finansowo-księgowy od 1 lutego 2026 r.;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System kadrowy wraz z nadzorem kadrowym i płacowy od 1 lipca 2026 r.;</w:t>
      </w:r>
    </w:p>
    <w:p>
      <w:pPr>
        <w:pStyle w:val="ListParagraph"/>
        <w:numPr>
          <w:ilvl w:val="0"/>
          <w:numId w:val="14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System Inwentarz od 1 lutego 2026 r.</w:t>
      </w:r>
    </w:p>
    <w:p>
      <w:pPr>
        <w:pStyle w:val="Normal"/>
        <w:numPr>
          <w:ilvl w:val="0"/>
          <w:numId w:val="12"/>
        </w:numPr>
        <w:shd w:val="clear" w:color="auto" w:fill="FFFFFF"/>
        <w:spacing w:before="240" w:after="0"/>
        <w:ind w:hanging="283" w:left="284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Opis sposobu obliczenia ceny: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Kryterium oceny ofert</w:t>
      </w:r>
    </w:p>
    <w:p>
      <w:pPr>
        <w:pStyle w:val="Normal"/>
        <w:spacing w:lineRule="auto" w:line="240" w:before="0" w:after="0"/>
        <w:ind w:firstLine="141" w:left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Zamawiający wyznaczył następujące kryteria dla oceny ofert oraz ustalił ich znaczenie (wagę):</w:t>
      </w:r>
    </w:p>
    <w:p>
      <w:pPr>
        <w:pStyle w:val="Normal"/>
        <w:spacing w:lineRule="auto" w:line="240" w:before="0" w:after="0"/>
        <w:ind w:left="709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Jako kryterium wyboru o</w:t>
      </w:r>
      <w:r>
        <w:rPr>
          <w:rFonts w:cs="CIDFont+F3" w:ascii="Arial" w:hAnsi="Arial"/>
          <w:sz w:val="24"/>
          <w:szCs w:val="24"/>
        </w:rPr>
        <w:t>ferty przyjmuje się najkorzystniejszy bilans punktów przyznanych w oparciu o kryteria „Cena brutto”, „Kwalifikacje zawodowe i doświadczenie dwóch (zespołu) osób wyznaczonych do realizacji zamówienia” oraz „Czas reakcji na zgłoszenie awarii”. Oferty będą oceniane według wyżej wymienionych kryteriów, którym przyporządkowano następujące wagi:</w:t>
      </w:r>
    </w:p>
    <w:p>
      <w:pPr>
        <w:pStyle w:val="ListParagraph"/>
        <w:spacing w:lineRule="auto" w:line="240" w:before="0" w:after="0"/>
        <w:ind w:left="1134"/>
        <w:contextualSpacing/>
        <w:jc w:val="both"/>
        <w:rPr>
          <w:rFonts w:ascii="Arial" w:hAnsi="Arial" w:cs="CIDFont+F3"/>
          <w:sz w:val="24"/>
          <w:szCs w:val="24"/>
        </w:rPr>
      </w:pPr>
      <w:r>
        <w:rPr>
          <w:rFonts w:cs="CIDFont+F3" w:ascii="Arial" w:hAnsi="Arial"/>
          <w:sz w:val="24"/>
          <w:szCs w:val="24"/>
        </w:rPr>
      </w:r>
    </w:p>
    <w:tbl>
      <w:tblPr>
        <w:tblStyle w:val="Tabela-Siatka"/>
        <w:tblW w:w="8773" w:type="dxa"/>
        <w:jc w:val="left"/>
        <w:tblInd w:w="5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9"/>
        <w:gridCol w:w="5670"/>
        <w:gridCol w:w="2234"/>
      </w:tblGrid>
      <w:tr>
        <w:trPr/>
        <w:tc>
          <w:tcPr>
            <w:tcW w:w="86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b/>
                <w:kern w:val="0"/>
                <w:sz w:val="24"/>
                <w:szCs w:val="24"/>
                <w:lang w:val="pl-PL" w:eastAsia="en-US" w:bidi="ar-SA"/>
              </w:rPr>
              <w:t>L. p.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b/>
                <w:kern w:val="0"/>
                <w:sz w:val="24"/>
                <w:szCs w:val="24"/>
                <w:lang w:val="pl-PL" w:eastAsia="en-US" w:bidi="ar-SA"/>
              </w:rPr>
              <w:t>Kryterium</w:t>
            </w:r>
          </w:p>
        </w:tc>
        <w:tc>
          <w:tcPr>
            <w:tcW w:w="22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b/>
                <w:kern w:val="0"/>
                <w:sz w:val="24"/>
                <w:szCs w:val="24"/>
                <w:lang w:val="pl-PL" w:eastAsia="en-US" w:bidi="ar-SA"/>
              </w:rPr>
              <w:t>Waga* w %</w:t>
            </w:r>
          </w:p>
        </w:tc>
      </w:tr>
      <w:tr>
        <w:trPr/>
        <w:tc>
          <w:tcPr>
            <w:tcW w:w="86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kern w:val="0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Cena brutto (C)</w:t>
            </w:r>
          </w:p>
        </w:tc>
        <w:tc>
          <w:tcPr>
            <w:tcW w:w="22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60%</w:t>
            </w:r>
          </w:p>
        </w:tc>
      </w:tr>
      <w:tr>
        <w:trPr/>
        <w:tc>
          <w:tcPr>
            <w:tcW w:w="86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kern w:val="0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Kwalifikacje zawodowe i doświadczenie dwóch (zespołu) osób wyznaczonych do realizacji zamówienia (J)</w:t>
            </w:r>
          </w:p>
        </w:tc>
        <w:tc>
          <w:tcPr>
            <w:tcW w:w="22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20%</w:t>
            </w:r>
          </w:p>
        </w:tc>
      </w:tr>
      <w:tr>
        <w:trPr/>
        <w:tc>
          <w:tcPr>
            <w:tcW w:w="86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kern w:val="0"/>
                <w:sz w:val="24"/>
                <w:szCs w:val="24"/>
                <w:lang w:val="pl-PL" w:eastAsia="en-US" w:bidi="ar-SA"/>
              </w:rPr>
              <w:t>3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Czas reakcji na zgłoszenie awarii (A)</w:t>
            </w:r>
          </w:p>
        </w:tc>
        <w:tc>
          <w:tcPr>
            <w:tcW w:w="22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3" w:ascii="Arial" w:hAnsi="Arial"/>
                <w:kern w:val="0"/>
                <w:sz w:val="24"/>
                <w:szCs w:val="24"/>
                <w:lang w:val="pl-PL" w:eastAsia="en-US" w:bidi="ar-SA"/>
              </w:rPr>
              <w:t>20%</w:t>
            </w:r>
          </w:p>
        </w:tc>
      </w:tr>
      <w:tr>
        <w:trPr/>
        <w:tc>
          <w:tcPr>
            <w:tcW w:w="86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CIDFont+F2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2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CIDFont+F2" w:ascii="Arial" w:hAnsi="Arial"/>
                <w:b/>
                <w:kern w:val="0"/>
                <w:sz w:val="24"/>
                <w:szCs w:val="24"/>
                <w:lang w:val="pl-PL" w:eastAsia="en-US" w:bidi="ar-SA"/>
              </w:rPr>
              <w:t>100%</w:t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* wg zasady 1% = 1 pkt</w:t>
      </w:r>
    </w:p>
    <w:p>
      <w:pPr>
        <w:pStyle w:val="Normal"/>
        <w:spacing w:lineRule="auto" w:line="240" w:before="0" w:after="0"/>
        <w:ind w:firstLine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Liczba punktów przyznanych każdej z ocenianych ofert obliczona zostanie według poniższego wzoru: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CIDFont+F2" w:ascii="Arial" w:hAnsi="Arial"/>
          <w:b/>
          <w:sz w:val="24"/>
          <w:szCs w:val="24"/>
        </w:rPr>
        <w:t>LP = C + J + A</w:t>
      </w:r>
    </w:p>
    <w:p>
      <w:pPr>
        <w:pStyle w:val="Normal"/>
        <w:spacing w:lineRule="auto" w:line="240" w:before="0" w:after="0"/>
        <w:ind w:left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gdzie:</w:t>
      </w:r>
    </w:p>
    <w:p>
      <w:pPr>
        <w:pStyle w:val="Normal"/>
        <w:spacing w:lineRule="auto" w:line="240" w:before="0" w:after="0"/>
        <w:ind w:left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LP – łączna liczba punktów przyznanych ofercie łącznie we wszystkich kryteriach oceny ofert</w:t>
      </w:r>
    </w:p>
    <w:p>
      <w:pPr>
        <w:pStyle w:val="Normal"/>
        <w:spacing w:lineRule="auto" w:line="240" w:before="0" w:after="0"/>
        <w:ind w:left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C – liczba punktów przyznanych ofercie w oparciu o kryterium „Cena brutto”</w:t>
      </w:r>
    </w:p>
    <w:p>
      <w:pPr>
        <w:pStyle w:val="Normal"/>
        <w:spacing w:lineRule="auto" w:line="240" w:before="0" w:after="0"/>
        <w:ind w:left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J – liczba punktów przyznanych ofercie w oparciu o kryterium „Kwalifikacje zawodowe i doświadczenie dwóch (zespołu) osób wyznaczonych do realizacji zamówienia”</w:t>
      </w:r>
    </w:p>
    <w:p>
      <w:pPr>
        <w:pStyle w:val="Normal"/>
        <w:spacing w:lineRule="auto" w:line="240" w:before="0" w:after="0"/>
        <w:ind w:left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A – liczba punktów przyznanych ofercie w oparciu o kryterium „Czas reakcji na zgłoszenie awarii”.</w:t>
      </w:r>
    </w:p>
    <w:p>
      <w:pPr>
        <w:pStyle w:val="Normal"/>
        <w:spacing w:lineRule="auto" w:line="240" w:before="0" w:after="0"/>
        <w:ind w:firstLine="851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Ocena poszczególnych kryteriów:</w:t>
      </w:r>
    </w:p>
    <w:p>
      <w:pPr>
        <w:pStyle w:val="ListParagraph"/>
        <w:numPr>
          <w:ilvl w:val="0"/>
          <w:numId w:val="36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Cena brutto (C):</w:t>
      </w:r>
    </w:p>
    <w:p>
      <w:pPr>
        <w:pStyle w:val="Normal"/>
        <w:spacing w:lineRule="auto" w:line="240" w:before="0" w:after="0"/>
        <w:ind w:firstLine="425" w:left="709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Znaczenie procentowe kryterium: 60 %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 xml:space="preserve">Max. ilość punktów: 60 pkt. </w:t>
      </w:r>
      <w:r>
        <w:rPr>
          <w:rFonts w:cs="CIDFont+F3" w:ascii="Arial" w:hAnsi="Arial"/>
          <w:sz w:val="24"/>
          <w:szCs w:val="24"/>
        </w:rPr>
        <w:t>Najniższa cena brutto otrzyma maksymalną ilość punktów tj. 60.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Zasady punktacji: C=(</w:t>
      </w:r>
      <w:r>
        <w:rPr>
          <w:rFonts w:cs="CIDFont+F3" w:ascii="Arial" w:hAnsi="Arial"/>
          <w:sz w:val="24"/>
          <w:szCs w:val="24"/>
        </w:rPr>
        <w:t xml:space="preserve">C </w:t>
      </w:r>
      <w:r>
        <w:rPr>
          <w:rFonts w:cs="CIDFont+F3" w:ascii="Arial" w:hAnsi="Arial"/>
          <w:sz w:val="24"/>
          <w:szCs w:val="24"/>
          <w:vertAlign w:val="subscript"/>
        </w:rPr>
        <w:t xml:space="preserve">min. </w:t>
      </w:r>
      <w:r>
        <w:rPr>
          <w:rFonts w:cs="Times New Roman" w:ascii="Arial" w:hAnsi="Arial"/>
          <w:iCs/>
          <w:sz w:val="24"/>
          <w:szCs w:val="24"/>
        </w:rPr>
        <w:t>/</w:t>
      </w:r>
      <w:r>
        <w:rPr>
          <w:rFonts w:cs="CIDFont+F3" w:ascii="Arial" w:hAnsi="Arial"/>
          <w:sz w:val="24"/>
          <w:szCs w:val="24"/>
        </w:rPr>
        <w:t xml:space="preserve"> C</w:t>
      </w:r>
      <w:r>
        <w:rPr>
          <w:rFonts w:cs="CIDFont+F3" w:ascii="Arial" w:hAnsi="Arial"/>
          <w:sz w:val="24"/>
          <w:szCs w:val="24"/>
          <w:vertAlign w:val="subscript"/>
        </w:rPr>
        <w:t xml:space="preserve"> b</w:t>
      </w:r>
      <w:r>
        <w:rPr>
          <w:rFonts w:cs="Times New Roman" w:ascii="Arial" w:hAnsi="Arial"/>
          <w:iCs/>
          <w:sz w:val="24"/>
          <w:szCs w:val="24"/>
        </w:rPr>
        <w:t>)x100x0,60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gdzie: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C – punkty za cenę brutto danej ofert,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 xml:space="preserve">C </w:t>
      </w:r>
      <w:r>
        <w:rPr>
          <w:rFonts w:cs="CIDFont+F3" w:ascii="Arial" w:hAnsi="Arial"/>
          <w:sz w:val="24"/>
          <w:szCs w:val="24"/>
          <w:vertAlign w:val="subscript"/>
        </w:rPr>
        <w:t>min.</w:t>
      </w:r>
      <w:r>
        <w:rPr>
          <w:rFonts w:cs="Times New Roman" w:ascii="Arial" w:hAnsi="Arial"/>
          <w:iCs/>
          <w:sz w:val="24"/>
          <w:szCs w:val="24"/>
        </w:rPr>
        <w:t xml:space="preserve"> – cena brutto z najniższej ofert,</w:t>
      </w:r>
    </w:p>
    <w:p>
      <w:pPr>
        <w:pStyle w:val="Normal"/>
        <w:spacing w:lineRule="auto" w:line="240" w:before="0" w:after="0"/>
        <w:ind w:firstLine="141" w:left="993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C</w:t>
      </w:r>
      <w:r>
        <w:rPr>
          <w:rFonts w:cs="CIDFont+F3" w:ascii="Arial" w:hAnsi="Arial"/>
          <w:sz w:val="24"/>
          <w:szCs w:val="24"/>
          <w:vertAlign w:val="subscript"/>
        </w:rPr>
        <w:t xml:space="preserve"> b</w:t>
      </w:r>
      <w:r>
        <w:rPr>
          <w:rFonts w:cs="Times New Roman" w:ascii="Arial" w:hAnsi="Arial"/>
          <w:iCs/>
          <w:sz w:val="24"/>
          <w:szCs w:val="24"/>
        </w:rPr>
        <w:t xml:space="preserve"> – cena brutto z oferty, dla której liczymy punkty.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Liczymy iloraz: ceny brutto najniższej oferty do badanej oferty, następnie wynik mnożymy x 100, wynik iloczynu mnożymy x waga (0,60),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według wzoru:</w:t>
      </w:r>
    </w:p>
    <w:p>
      <w:pPr>
        <w:pStyle w:val="Normal"/>
        <w:spacing w:lineRule="auto" w:line="240" w:before="0" w:after="0"/>
        <w:ind w:left="1416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ab/>
        <w:tab/>
        <w:tab/>
        <w:tab/>
        <w:t xml:space="preserve">C </w:t>
      </w:r>
      <w:r>
        <w:rPr>
          <w:rFonts w:cs="CIDFont+F3" w:ascii="Arial" w:hAnsi="Arial"/>
          <w:sz w:val="24"/>
          <w:szCs w:val="24"/>
          <w:vertAlign w:val="subscript"/>
        </w:rPr>
        <w:t>min.</w:t>
      </w:r>
    </w:p>
    <w:p>
      <w:pPr>
        <w:pStyle w:val="Normal"/>
        <w:spacing w:lineRule="auto" w:line="240" w:before="0" w:after="0"/>
        <w:ind w:firstLine="708" w:left="2832"/>
        <w:jc w:val="both"/>
        <w:rPr>
          <w:rFonts w:ascii="Arial" w:hAnsi="Arial"/>
          <w:sz w:val="24"/>
          <w:szCs w:val="24"/>
        </w:rPr>
      </w:pPr>
      <w:r>
        <mc:AlternateContent>
          <mc:Choice Requires="wps">
            <w:drawing>
              <wp:anchor behindDoc="0" distT="0" distB="19050" distL="0" distR="10160" simplePos="0" locked="0" layoutInCell="1" allowOverlap="1" relativeHeight="2" wp14:anchorId="2F019D10">
                <wp:simplePos x="0" y="0"/>
                <wp:positionH relativeFrom="column">
                  <wp:posOffset>2545080</wp:posOffset>
                </wp:positionH>
                <wp:positionV relativeFrom="paragraph">
                  <wp:posOffset>76200</wp:posOffset>
                </wp:positionV>
                <wp:extent cx="504825" cy="635"/>
                <wp:effectExtent l="5080" t="5080" r="5080" b="5080"/>
                <wp:wrapNone/>
                <wp:docPr id="1" name="Łącznik prostoliniowy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0.4pt,6pt" to="240.1pt,6pt" ID="Łącznik prostoliniowy 2" stroked="t" o:allowincell="f" style="position:absolute" wp14:anchorId="2F019D10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IDFont+F3" w:ascii="Arial" w:hAnsi="Arial"/>
          <w:sz w:val="24"/>
          <w:szCs w:val="24"/>
        </w:rPr>
        <w:t xml:space="preserve">C = </w:t>
        <w:tab/>
        <w:tab/>
        <w:t>x 60 pkt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ab/>
        <w:tab/>
        <w:tab/>
        <w:tab/>
        <w:tab/>
        <w:tab/>
        <w:t>C</w:t>
      </w:r>
      <w:r>
        <w:rPr>
          <w:rFonts w:cs="CIDFont+F3" w:ascii="Arial" w:hAnsi="Arial"/>
          <w:sz w:val="24"/>
          <w:szCs w:val="24"/>
          <w:vertAlign w:val="subscript"/>
        </w:rPr>
        <w:t xml:space="preserve"> b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Przy obliczaniu liczby punktów Zamawiający zaokrąglał będzie wyniki do dwóch miejsc po przecinku (z zastosowaniem reguł matematycznych).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Cena brutto podana w ofercie powinna być podana z dokładnością do dwóch miejsc po przecinku w złotówkach, przy zachowaniu matematycznej zasady zaokrąglania liczb, tj.:</w:t>
      </w:r>
    </w:p>
    <w:p>
      <w:pPr>
        <w:pStyle w:val="ListParagraph"/>
        <w:numPr>
          <w:ilvl w:val="0"/>
          <w:numId w:val="37"/>
        </w:numPr>
        <w:spacing w:lineRule="auto" w:line="240" w:before="0" w:after="0"/>
        <w:ind w:hanging="360" w:left="1701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w sytuacji, kiedy na trzecim miejscu po przecinku jest cyfra „5” lub wyższa, wówczas wartość ulega zaokrągleniu „w górę” (to znaczy, że: np. wartość 0,155 musi zostać zaokrąglona do 0,16);</w:t>
      </w:r>
    </w:p>
    <w:p>
      <w:pPr>
        <w:pStyle w:val="ListParagraph"/>
        <w:numPr>
          <w:ilvl w:val="0"/>
          <w:numId w:val="37"/>
        </w:numPr>
        <w:spacing w:lineRule="auto" w:line="240" w:before="0" w:after="0"/>
        <w:ind w:hanging="360" w:left="1701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w sytuacji, kiedy na trzecim miejscu po przecinku jest cyfra „4” lub niższa, wówczas wartość ulega zaokrągleniu „w dół” (to znaczy, że: np. wartość 0,154 musi zostać zaokrąglona do 0,15).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W przypadku, gdy Wykonawca wyrazi cenę brutto z dokładnością większą niż dwa miejsca po przecinku, Zamawiający poprawi taką wartość, zaokrąglając ją do dwóch miejsc po przecinku zgodnie z</w:t>
      </w:r>
      <w:r>
        <w:rPr>
          <w:rFonts w:ascii="Arial" w:hAnsi="Arial"/>
          <w:sz w:val="24"/>
          <w:szCs w:val="24"/>
        </w:rPr>
        <w:t> </w:t>
      </w:r>
      <w:r>
        <w:rPr>
          <w:rFonts w:cs="CIDFont+F3" w:ascii="Arial" w:hAnsi="Arial"/>
          <w:sz w:val="24"/>
          <w:szCs w:val="24"/>
        </w:rPr>
        <w:t>zasadami opisanymi powyżej i uwzględni konsekwencje rachunkowe takiej poprawki, o ile takie występują.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Podane w Formularzu ofertowym ceny będą stałe to znaczy nie ulegną zmianie przez cały okres realizacji (wykonywania) przedmiotu zamówienia.</w:t>
      </w:r>
    </w:p>
    <w:p>
      <w:pPr>
        <w:pStyle w:val="ListParagraph"/>
        <w:numPr>
          <w:ilvl w:val="0"/>
          <w:numId w:val="36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Kwalifikacje zawodowe i doświadczenie dwóch (zespołu) osób wyznaczonych do realizacji zamówienia (J):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Znaczenie procentowe kryterium: 20 %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Max. ilość punktów: 20 pkt.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Zasady punktacji: „TAK” – 20 pkt, „NIE” – 0 pkt.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Wykonawca, który posiada dwie doświadczone osoby (zespół osób), które będą uczestniczyć w wykonywaniu zamówienia otrzyma – 20 pkt, w przypadku braku takich osób – 0 pkt.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Warunkiem przyznania punktów w wyżej wymienionym kryterium jest zakreślenie „TAK” w formularzu ofertowym (załącznik nr 1 do zapytania ofertowego) w poszczególnej części zamówienia, na którą Wykonawca składa ofertę oraz dołączenie kopii dokumentów potwierdzających kwalifikacje zawodowe i doświadczenie dwóch (zespołu) osób wyznaczonych do realizacji zamówienia.</w:t>
      </w:r>
    </w:p>
    <w:p>
      <w:pPr>
        <w:pStyle w:val="ListParagraph"/>
        <w:numPr>
          <w:ilvl w:val="0"/>
          <w:numId w:val="36"/>
        </w:numPr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Czas reakcji na zgłoszenie awarii (A):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Znaczenie procentowe kryterium: 20 %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Max. ilość punktów: 20 pkt.</w:t>
      </w:r>
      <w:r>
        <w:rPr>
          <w:rFonts w:cs="CIDFont+F3" w:ascii="Arial" w:hAnsi="Arial"/>
          <w:sz w:val="24"/>
          <w:szCs w:val="24"/>
        </w:rPr>
        <w:t xml:space="preserve"> Oferta zawierająca czas reakcji na zgłoszenie awarii mniejszy lub równy 8 godzin otrzyma maksymalną ilość punktów tj. 20. W ofercie z dłuższym czasem reakcji, tj. od 9 do 23 godzin, zostanie przyznane 10 punktów. W przypadku podania 24 lub więcej godzin – 0 punktów.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>W ramach kryterium „</w:t>
      </w:r>
      <w:r>
        <w:rPr>
          <w:rFonts w:cs="CIDFont+F3" w:ascii="Arial" w:hAnsi="Arial"/>
          <w:sz w:val="24"/>
          <w:szCs w:val="24"/>
        </w:rPr>
        <w:t>Czas reakcji na zgłoszenie awarii</w:t>
      </w:r>
      <w:r>
        <w:rPr>
          <w:rFonts w:cs="Times New Roman" w:ascii="Arial" w:hAnsi="Arial"/>
          <w:sz w:val="24"/>
          <w:szCs w:val="24"/>
        </w:rPr>
        <w:t>” oferta będzie oceniana w następujący sposób: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tbl>
      <w:tblPr>
        <w:tblStyle w:val="Tabela-Siatka"/>
        <w:tblW w:w="7938" w:type="dxa"/>
        <w:jc w:val="left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3"/>
        <w:gridCol w:w="3969"/>
        <w:gridCol w:w="2976"/>
      </w:tblGrid>
      <w:tr>
        <w:trPr/>
        <w:tc>
          <w:tcPr>
            <w:tcW w:w="993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L. p.</w:t>
            </w:r>
          </w:p>
        </w:tc>
        <w:tc>
          <w:tcPr>
            <w:tcW w:w="3969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CIDFont+F3" w:ascii="Arial" w:hAnsi="Arial"/>
                <w:kern w:val="0"/>
                <w:sz w:val="24"/>
                <w:szCs w:val="24"/>
                <w:lang w:val="pl-PL" w:bidi="ar-SA"/>
              </w:rPr>
              <w:t>Czas reakcji na zgłoszenie awarii</w:t>
            </w:r>
            <w:r>
              <w:rPr>
                <w:rFonts w:ascii="Arial" w:hAnsi="Arial"/>
                <w:iCs/>
                <w:kern w:val="0"/>
                <w:sz w:val="24"/>
                <w:szCs w:val="24"/>
                <w:lang w:val="pl-PL" w:bidi="ar-SA"/>
              </w:rPr>
              <w:t xml:space="preserve"> </w:t>
            </w: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w liczbie godzin</w:t>
            </w:r>
          </w:p>
        </w:tc>
        <w:tc>
          <w:tcPr>
            <w:tcW w:w="2976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Liczba przyznanych punktów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3969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mniejsze lub równe 8</w:t>
            </w:r>
          </w:p>
        </w:tc>
        <w:tc>
          <w:tcPr>
            <w:tcW w:w="2976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20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3969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9 - 23</w:t>
            </w:r>
          </w:p>
        </w:tc>
        <w:tc>
          <w:tcPr>
            <w:tcW w:w="2976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10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3969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większe lub równe 24</w:t>
            </w:r>
          </w:p>
        </w:tc>
        <w:tc>
          <w:tcPr>
            <w:tcW w:w="2976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Jeśli w ofercie nie zostanie wskazany czas reakcji</w:t>
      </w:r>
      <w:r>
        <w:rPr>
          <w:rFonts w:cs="CIDFont+F3" w:ascii="Arial" w:hAnsi="Arial"/>
          <w:sz w:val="24"/>
          <w:szCs w:val="24"/>
        </w:rPr>
        <w:t xml:space="preserve"> na zgłoszenie awarii, Zamawiający przyjmie termin maksymalny 24 godziny i przyzna 0 punktów w tym kryterium.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Zasady punktacji: A=(</w:t>
      </w:r>
      <w:r>
        <w:rPr>
          <w:rFonts w:cs="CIDFont+F3" w:ascii="Arial" w:hAnsi="Arial"/>
          <w:sz w:val="24"/>
          <w:szCs w:val="24"/>
        </w:rPr>
        <w:t xml:space="preserve">A </w:t>
      </w:r>
      <w:r>
        <w:rPr>
          <w:rFonts w:cs="CIDFont+F3" w:ascii="Arial" w:hAnsi="Arial"/>
          <w:sz w:val="24"/>
          <w:szCs w:val="24"/>
          <w:vertAlign w:val="subscript"/>
        </w:rPr>
        <w:t xml:space="preserve">min. </w:t>
      </w:r>
      <w:r>
        <w:rPr>
          <w:rFonts w:cs="Times New Roman" w:ascii="Arial" w:hAnsi="Arial"/>
          <w:iCs/>
          <w:sz w:val="24"/>
          <w:szCs w:val="24"/>
        </w:rPr>
        <w:t>/</w:t>
      </w:r>
      <w:r>
        <w:rPr>
          <w:rFonts w:cs="CIDFont+F3" w:ascii="Arial" w:hAnsi="Arial"/>
          <w:sz w:val="24"/>
          <w:szCs w:val="24"/>
        </w:rPr>
        <w:t xml:space="preserve"> A</w:t>
      </w:r>
      <w:r>
        <w:rPr>
          <w:rFonts w:cs="CIDFont+F3" w:ascii="Arial" w:hAnsi="Arial"/>
          <w:sz w:val="24"/>
          <w:szCs w:val="24"/>
          <w:vertAlign w:val="subscript"/>
        </w:rPr>
        <w:t xml:space="preserve"> o</w:t>
      </w:r>
      <w:r>
        <w:rPr>
          <w:rFonts w:cs="Times New Roman" w:ascii="Arial" w:hAnsi="Arial"/>
          <w:iCs/>
          <w:sz w:val="24"/>
          <w:szCs w:val="24"/>
        </w:rPr>
        <w:t>)x100x0,20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gdzie: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 xml:space="preserve">A – punkty za czas reakcji </w:t>
      </w:r>
      <w:r>
        <w:rPr>
          <w:rFonts w:cs="CIDFont+F3" w:ascii="Arial" w:hAnsi="Arial"/>
          <w:sz w:val="24"/>
          <w:szCs w:val="24"/>
        </w:rPr>
        <w:t>na zgłoszenie awarii danej oferty,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 xml:space="preserve">A </w:t>
      </w:r>
      <w:r>
        <w:rPr>
          <w:rFonts w:cs="CIDFont+F3" w:ascii="Arial" w:hAnsi="Arial"/>
          <w:sz w:val="24"/>
          <w:szCs w:val="24"/>
          <w:vertAlign w:val="subscript"/>
        </w:rPr>
        <w:t xml:space="preserve">min. </w:t>
      </w:r>
      <w:r>
        <w:rPr>
          <w:rFonts w:cs="Times New Roman" w:ascii="Arial" w:hAnsi="Arial"/>
          <w:sz w:val="24"/>
          <w:szCs w:val="24"/>
        </w:rPr>
        <w:t xml:space="preserve">– najkrótszy </w:t>
      </w:r>
      <w:r>
        <w:rPr>
          <w:rFonts w:cs="Times New Roman" w:ascii="Arial" w:hAnsi="Arial"/>
          <w:iCs/>
          <w:sz w:val="24"/>
          <w:szCs w:val="24"/>
        </w:rPr>
        <w:t>czas reakcji na zgłoszenie awarii z ofert,</w:t>
      </w:r>
    </w:p>
    <w:p>
      <w:pPr>
        <w:pStyle w:val="Normal"/>
        <w:spacing w:lineRule="auto" w:line="240" w:before="0" w:after="0"/>
        <w:ind w:firstLine="708" w:left="426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 xml:space="preserve">A </w:t>
      </w:r>
      <w:r>
        <w:rPr>
          <w:rFonts w:cs="CIDFont+F3" w:ascii="Arial" w:hAnsi="Arial"/>
          <w:sz w:val="24"/>
          <w:szCs w:val="24"/>
          <w:vertAlign w:val="subscript"/>
        </w:rPr>
        <w:t xml:space="preserve">o </w:t>
      </w:r>
      <w:r>
        <w:rPr>
          <w:rFonts w:cs="Times New Roman" w:ascii="Arial" w:hAnsi="Arial"/>
          <w:sz w:val="24"/>
          <w:szCs w:val="24"/>
        </w:rPr>
        <w:t xml:space="preserve">– </w:t>
      </w:r>
      <w:r>
        <w:rPr>
          <w:rFonts w:cs="Times New Roman" w:ascii="Arial" w:hAnsi="Arial"/>
          <w:iCs/>
          <w:sz w:val="24"/>
          <w:szCs w:val="24"/>
        </w:rPr>
        <w:t>czas reakcji na zgłoszenie awarii z oferty, dla której liczymy punkty.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Liczymy iloraz czasu reakcji na zgłoszenie awarii z danej oferty do czasu reakcji na zgłoszenie awarii z najkorzystniejszej pod tym względem oferty, następnie wynik mnożymy x 100, wynik iloczynu mnożymy x waga (0,20),</w:t>
      </w:r>
    </w:p>
    <w:p>
      <w:pPr>
        <w:pStyle w:val="Normal"/>
        <w:spacing w:lineRule="auto" w:line="240" w:before="0" w:after="0"/>
        <w:ind w:left="1134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według wzoru: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ab/>
        <w:tab/>
        <w:tab/>
        <w:tab/>
        <w:tab/>
        <w:tab/>
        <w:t xml:space="preserve">A </w:t>
      </w:r>
      <w:r>
        <w:rPr>
          <w:rFonts w:cs="CIDFont+F3" w:ascii="Arial" w:hAnsi="Arial"/>
          <w:sz w:val="24"/>
          <w:szCs w:val="24"/>
          <w:vertAlign w:val="subscript"/>
        </w:rPr>
        <w:t>min.</w:t>
      </w:r>
    </w:p>
    <w:p>
      <w:pPr>
        <w:pStyle w:val="Normal"/>
        <w:spacing w:lineRule="auto" w:line="240" w:before="0" w:after="0"/>
        <w:ind w:firstLine="708" w:left="2832"/>
        <w:jc w:val="both"/>
        <w:rPr>
          <w:rFonts w:ascii="Arial" w:hAnsi="Arial"/>
          <w:sz w:val="24"/>
          <w:szCs w:val="24"/>
        </w:rPr>
      </w:pPr>
      <w:r>
        <mc:AlternateContent>
          <mc:Choice Requires="wps">
            <w:drawing>
              <wp:anchor behindDoc="0" distT="0" distB="19050" distL="0" distR="10160" simplePos="0" locked="0" layoutInCell="1" allowOverlap="1" relativeHeight="3" wp14:anchorId="6CC4299C">
                <wp:simplePos x="0" y="0"/>
                <wp:positionH relativeFrom="column">
                  <wp:posOffset>2545080</wp:posOffset>
                </wp:positionH>
                <wp:positionV relativeFrom="paragraph">
                  <wp:posOffset>76200</wp:posOffset>
                </wp:positionV>
                <wp:extent cx="504825" cy="635"/>
                <wp:effectExtent l="5080" t="5080" r="5080" b="5080"/>
                <wp:wrapNone/>
                <wp:docPr id="2" name="Łącznik prostoliniowy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2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0.4pt,6pt" to="240.1pt,6pt" ID="Łącznik prostoliniowy 4" stroked="t" o:allowincell="f" style="position:absolute" wp14:anchorId="6CC4299C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IDFont+F3" w:ascii="Arial" w:hAnsi="Arial"/>
          <w:sz w:val="24"/>
          <w:szCs w:val="24"/>
        </w:rPr>
        <w:t xml:space="preserve">A = </w:t>
        <w:tab/>
        <w:tab/>
        <w:t>x 20 pkt</w:t>
      </w:r>
    </w:p>
    <w:p>
      <w:pPr>
        <w:pStyle w:val="Normal"/>
        <w:spacing w:lineRule="auto" w:line="240" w:before="0" w:after="0"/>
        <w:ind w:firstLine="708" w:left="3540"/>
        <w:jc w:val="both"/>
        <w:rPr>
          <w:rFonts w:ascii="Arial" w:hAnsi="Arial"/>
          <w:sz w:val="24"/>
          <w:szCs w:val="24"/>
        </w:rPr>
      </w:pPr>
      <w:r>
        <w:rPr>
          <w:rFonts w:cs="CIDFont+F3" w:ascii="Arial" w:hAnsi="Arial"/>
          <w:sz w:val="24"/>
          <w:szCs w:val="24"/>
        </w:rPr>
        <w:t>A</w:t>
      </w:r>
      <w:r>
        <w:rPr>
          <w:rFonts w:cs="CIDFont+F3" w:ascii="Arial" w:hAnsi="Arial"/>
          <w:sz w:val="24"/>
          <w:szCs w:val="24"/>
          <w:vertAlign w:val="subscript"/>
        </w:rPr>
        <w:t xml:space="preserve"> o</w:t>
      </w:r>
    </w:p>
    <w:p>
      <w:pPr>
        <w:pStyle w:val="Normal"/>
        <w:spacing w:lineRule="auto" w:line="240" w:before="0" w:after="0"/>
        <w:ind w:left="709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P</w:t>
      </w:r>
      <w:r>
        <w:rPr>
          <w:rFonts w:cs="Times New Roman" w:ascii="Arial" w:hAnsi="Arial"/>
          <w:iCs/>
          <w:sz w:val="24"/>
          <w:szCs w:val="24"/>
        </w:rPr>
        <w:t>unkty uzyskane za poszczególne kryteria podlegają sumowaniu. Maksymalna liczba punktów możliwych do uzyskania: 100. Uzyskane oceny zostaną zaokrąglone z dokładnością do dwóch miejsc po przecinku. Zamawiający wybiera ofertę, która uzyskała najwyższą liczbę punktów, która stanowi sumę punktów uzyskanych w kryteriach „Cena</w:t>
      </w:r>
      <w:r>
        <w:rPr>
          <w:rFonts w:cs="CIDFont+F3" w:ascii="Arial" w:hAnsi="Arial"/>
          <w:sz w:val="24"/>
          <w:szCs w:val="24"/>
        </w:rPr>
        <w:t xml:space="preserve"> brutto</w:t>
      </w:r>
      <w:r>
        <w:rPr>
          <w:rFonts w:cs="Times New Roman" w:ascii="Arial" w:hAnsi="Arial"/>
          <w:iCs/>
          <w:sz w:val="24"/>
          <w:szCs w:val="24"/>
        </w:rPr>
        <w:t>”, „K</w:t>
      </w:r>
      <w:r>
        <w:rPr>
          <w:rFonts w:cs="CIDFont+F3" w:ascii="Arial" w:hAnsi="Arial"/>
          <w:sz w:val="24"/>
          <w:szCs w:val="24"/>
        </w:rPr>
        <w:t>walifikacje zawodowe i doświadczenie dwóch (zespołu) osób wyznaczonych do realizacji zamówienia</w:t>
      </w:r>
      <w:r>
        <w:rPr>
          <w:rFonts w:cs="Times New Roman" w:ascii="Arial" w:hAnsi="Arial"/>
          <w:iCs/>
          <w:sz w:val="24"/>
          <w:szCs w:val="24"/>
        </w:rPr>
        <w:t>” oraz „</w:t>
      </w:r>
      <w:r>
        <w:rPr>
          <w:rFonts w:cs="CIDFont+F3" w:ascii="Arial" w:hAnsi="Arial"/>
          <w:sz w:val="24"/>
          <w:szCs w:val="24"/>
        </w:rPr>
        <w:t>Czas reakcji na zgłoszenie awarii</w:t>
      </w:r>
      <w:r>
        <w:rPr>
          <w:rFonts w:cs="Times New Roman" w:ascii="Arial" w:hAnsi="Arial"/>
          <w:iCs/>
          <w:sz w:val="24"/>
          <w:szCs w:val="24"/>
        </w:rPr>
        <w:t>”.</w:t>
      </w:r>
    </w:p>
    <w:p>
      <w:pPr>
        <w:pStyle w:val="Normal"/>
        <w:spacing w:lineRule="auto" w:line="240" w:before="0" w:after="0"/>
        <w:ind w:left="709"/>
        <w:jc w:val="both"/>
        <w:rPr>
          <w:rFonts w:ascii="Arial" w:hAnsi="Arial"/>
          <w:sz w:val="24"/>
          <w:szCs w:val="24"/>
        </w:rPr>
      </w:pPr>
      <w:r>
        <w:rPr>
          <w:rFonts w:cs="Times New Roman" w:ascii="Arial" w:hAnsi="Arial"/>
          <w:iCs/>
          <w:sz w:val="24"/>
          <w:szCs w:val="24"/>
        </w:rPr>
        <w:t>W przypadku uzyskania takiej samej liczby punktów przez dwóch lub więcej oferentów wyżej w rankingu będzie ten, który wskaże niższą cenę brutto, następnie ten, który wskaże doświadczone o</w:t>
      </w:r>
      <w:r>
        <w:rPr>
          <w:rFonts w:cs="CIDFont+F3" w:ascii="Arial" w:hAnsi="Arial"/>
          <w:sz w:val="24"/>
          <w:szCs w:val="24"/>
        </w:rPr>
        <w:t xml:space="preserve">soby (zespół osób) wyznaczone do realizacji zamówienia, a </w:t>
      </w:r>
      <w:r>
        <w:rPr>
          <w:rFonts w:cs="Times New Roman" w:ascii="Arial" w:hAnsi="Arial"/>
          <w:iCs/>
          <w:sz w:val="24"/>
          <w:szCs w:val="24"/>
        </w:rPr>
        <w:t>następnie ten, który wskaże naj</w:t>
      </w:r>
      <w:r>
        <w:rPr>
          <w:rFonts w:cs="CIDFont+F3" w:ascii="Arial" w:hAnsi="Arial"/>
          <w:sz w:val="24"/>
          <w:szCs w:val="24"/>
        </w:rPr>
        <w:t>krótszy czas reakcji na zgłoszenie awarii</w:t>
      </w:r>
      <w:r>
        <w:rPr>
          <w:rFonts w:cs="Times New Roman" w:ascii="Arial" w:hAnsi="Arial"/>
          <w:iCs/>
          <w:sz w:val="24"/>
          <w:szCs w:val="24"/>
        </w:rPr>
        <w:t>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poda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ofercie cenę za wykonanie zamówienia netto i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brutto.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Podana cena musi obejmować wszelkie koszty z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 xml:space="preserve">uwzględnieniem wszystkich opłat, jakie poniesie 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Wykonawca</w:t>
      </w:r>
      <w:r>
        <w:rPr>
          <w:rFonts w:ascii="Arial" w:hAnsi="Arial"/>
          <w:sz w:val="24"/>
          <w:szCs w:val="24"/>
        </w:rPr>
        <w:t xml:space="preserve"> przy realizacji zamówienia.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Cena musi być podana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złotych polskich.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określi cenę zgodnie z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treścią zapytania ofertowego.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Cena określona przez Wykonawcę zostanie ustalona na okres obowiązywania umowy i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nie będzie podlegała zmianom.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Ocenie podlegać będzie cena brutto oferty za realizację zamówienia.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Wykonawcy zostaną poinformowani o wyborze najkorzystniejszej oferty na stronie internetowej BIP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zakładce Zamówienia publiczne oraz za pośrednictwem poczty elektronicznej, na adresy osób wskazanych w ofertach.</w:t>
      </w:r>
    </w:p>
    <w:p>
      <w:pPr>
        <w:pStyle w:val="NormalWeb"/>
        <w:numPr>
          <w:ilvl w:val="0"/>
          <w:numId w:val="12"/>
        </w:numPr>
        <w:spacing w:lineRule="auto" w:line="276" w:beforeAutospacing="0" w:before="240" w:afterAutospacing="0" w:after="0"/>
        <w:ind w:hanging="426" w:left="426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Informacja w jakich przypadkach oferta zostanie odrzucona:</w:t>
      </w:r>
    </w:p>
    <w:p>
      <w:pPr>
        <w:pStyle w:val="ListParagraph"/>
        <w:numPr>
          <w:ilvl w:val="0"/>
          <w:numId w:val="38"/>
        </w:numPr>
        <w:shd w:val="clear" w:color="auto" w:fill="FFFFFF"/>
        <w:spacing w:lineRule="auto" w:line="240" w:before="0" w:after="0"/>
        <w:ind w:hanging="360" w:left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Treść oferty nie odpowiada </w:t>
      </w:r>
      <w:r>
        <w:rPr>
          <w:rFonts w:cs="Arial" w:ascii="Arial" w:hAnsi="Arial"/>
          <w:color w:val="000000"/>
          <w:sz w:val="24"/>
          <w:szCs w:val="24"/>
        </w:rPr>
        <w:t xml:space="preserve">treści zapytania ofertowego. </w:t>
      </w:r>
    </w:p>
    <w:p>
      <w:pPr>
        <w:pStyle w:val="ListParagraph"/>
        <w:numPr>
          <w:ilvl w:val="0"/>
          <w:numId w:val="38"/>
        </w:numPr>
        <w:shd w:val="clear" w:color="auto" w:fill="FFFFFF"/>
        <w:spacing w:lineRule="auto" w:line="240" w:before="0" w:after="0"/>
        <w:ind w:hanging="360" w:left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Oferta została złożona przez Wykonawcę niespełniającego warunków udziału w postępowaniu ofertowym.</w:t>
      </w:r>
    </w:p>
    <w:p>
      <w:pPr>
        <w:pStyle w:val="ListParagraph"/>
        <w:numPr>
          <w:ilvl w:val="0"/>
          <w:numId w:val="38"/>
        </w:numPr>
        <w:shd w:val="clear" w:color="auto" w:fill="FFFFFF"/>
        <w:spacing w:lineRule="auto" w:line="240" w:before="0" w:after="0"/>
        <w:ind w:hanging="360" w:left="709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Oferta została złożona po terminie składania ofert określonym w zapytaniu ofertowym.</w:t>
      </w:r>
    </w:p>
    <w:p>
      <w:pPr>
        <w:pStyle w:val="NormalWeb"/>
        <w:numPr>
          <w:ilvl w:val="0"/>
          <w:numId w:val="12"/>
        </w:numPr>
        <w:spacing w:lineRule="auto" w:line="276" w:beforeAutospacing="0" w:before="240" w:afterAutospacing="0" w:after="0"/>
        <w:ind w:hanging="426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Opis sposobu przygotowania oferty:</w:t>
      </w:r>
    </w:p>
    <w:p>
      <w:pPr>
        <w:pStyle w:val="NormalWeb"/>
        <w:spacing w:beforeAutospacing="0" w:before="0" w:afterAutospacing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Wypełniony formularz oferty (Załącznik nr 1) powinien: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być opatrzony pieczątką firmową,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zawierać datę sporządzenia oferty,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zawierać nazwę oraz adres lub siedzibę Wykonawcy, numery NIP i Regon, numer telefonu,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być opatrzony podpisem osoby upoważnionej do składania ofert w imieniu Wykonawcy,</w:t>
      </w:r>
    </w:p>
    <w:p>
      <w:pPr>
        <w:pStyle w:val="NormalWeb"/>
        <w:numPr>
          <w:ilvl w:val="0"/>
          <w:numId w:val="13"/>
        </w:numPr>
        <w:spacing w:beforeAutospacing="0" w:before="0" w:afterAutospacing="0" w:after="0"/>
        <w:ind w:hanging="360"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zawierać cenę oferty netto i brutto.</w:t>
      </w:r>
    </w:p>
    <w:p>
      <w:pPr>
        <w:pStyle w:val="NormalWeb"/>
        <w:numPr>
          <w:ilvl w:val="0"/>
          <w:numId w:val="12"/>
        </w:numPr>
        <w:spacing w:lineRule="auto" w:line="276" w:beforeAutospacing="0" w:before="240" w:afterAutospacing="0" w:after="0"/>
        <w:ind w:hanging="426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Termin i forma składania ofert:</w:t>
      </w:r>
    </w:p>
    <w:p>
      <w:pPr>
        <w:pStyle w:val="Default"/>
        <w:numPr>
          <w:ilvl w:val="0"/>
          <w:numId w:val="1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Ofertę</w:t>
      </w:r>
      <w:r>
        <w:rPr>
          <w:rFonts w:ascii="Arial" w:hAnsi="Arial"/>
          <w:bCs/>
          <w:color w:val="auto"/>
          <w:sz w:val="24"/>
          <w:szCs w:val="24"/>
        </w:rPr>
        <w:t xml:space="preserve"> należy złożyć na formularzu ofertowym </w:t>
      </w:r>
      <w:r>
        <w:rPr>
          <w:rFonts w:ascii="Arial" w:hAnsi="Arial"/>
          <w:color w:val="auto"/>
          <w:sz w:val="24"/>
          <w:szCs w:val="24"/>
        </w:rPr>
        <w:t>stanowiącym Załącznik nr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1 do niniejszego Zapytania ofertowego.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/>
      </w:pPr>
      <w:r>
        <w:rPr>
          <w:rFonts w:ascii="Arial" w:hAnsi="Arial"/>
          <w:sz w:val="24"/>
          <w:szCs w:val="24"/>
        </w:rPr>
        <w:t>Ofertę w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 xml:space="preserve">terminie </w:t>
      </w:r>
      <w:r>
        <w:rPr>
          <w:rFonts w:ascii="Arial" w:hAnsi="Arial"/>
          <w:b/>
          <w:bCs/>
          <w:sz w:val="24"/>
          <w:szCs w:val="24"/>
        </w:rPr>
        <w:t>do dnia 30 stycznia 2026 roku do godz. 12:00</w:t>
      </w:r>
      <w:r>
        <w:rPr>
          <w:rFonts w:ascii="Arial" w:hAnsi="Arial"/>
          <w:bCs/>
          <w:sz w:val="24"/>
          <w:szCs w:val="24"/>
        </w:rPr>
        <w:t xml:space="preserve"> (liczy się data wpływu) należy przesłać na adres e-mail: </w:t>
      </w:r>
      <w:hyperlink r:id="rId2">
        <w:r>
          <w:rPr>
            <w:rStyle w:val="Hyperlink"/>
            <w:rFonts w:ascii="Arial" w:hAnsi="Arial"/>
            <w:bCs/>
            <w:color w:val="auto"/>
            <w:sz w:val="24"/>
            <w:szCs w:val="24"/>
            <w:u w:val="none"/>
          </w:rPr>
          <w:t>akowalska@cuwpo.wloclawek.pl</w:t>
        </w:r>
      </w:hyperlink>
      <w:r>
        <w:rPr>
          <w:rFonts w:ascii="Arial" w:hAnsi="Arial"/>
          <w:bCs/>
          <w:sz w:val="24"/>
          <w:szCs w:val="24"/>
        </w:rPr>
        <w:t>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Ofertę wraz z załącznikami należy złożyć w języku polskim. </w:t>
      </w:r>
      <w:r>
        <w:rPr>
          <w:rFonts w:ascii="Arial" w:hAnsi="Arial"/>
          <w:sz w:val="24"/>
          <w:szCs w:val="24"/>
        </w:rPr>
        <w:t xml:space="preserve">Każdy dokument składający się na ofertę lub złożony wraz z ofertą sporządzony w języku innym niż polski musi być złożony wraz z tłumaczeniem na język polski. 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Oferty złożone po terminie nie będą rozpatrywane.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Wykonawca może złożyć tylko jedną ofertę.</w:t>
      </w:r>
      <w:r>
        <w:rPr>
          <w:rFonts w:ascii="Arial" w:hAnsi="Arial"/>
          <w:sz w:val="24"/>
          <w:szCs w:val="24"/>
        </w:rPr>
        <w:t xml:space="preserve"> Złożenie więcej niż jednej oferty spowoduje odrzucenie wszystkich ofert złożonych przez Wykonawcę. </w:t>
      </w:r>
    </w:p>
    <w:p>
      <w:pPr>
        <w:pStyle w:val="Default"/>
        <w:numPr>
          <w:ilvl w:val="0"/>
          <w:numId w:val="1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Wykonawca może przed upływem terminu składania ofert zmieniać lub wycofać swoją ofertę.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Zamawiający nie dopuszcza możliwości składania ofert częściowych.</w:t>
      </w:r>
    </w:p>
    <w:p>
      <w:pPr>
        <w:pStyle w:val="Default"/>
        <w:numPr>
          <w:ilvl w:val="0"/>
          <w:numId w:val="10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W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toku badania i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oceny oferty Zamawiający może żądać od Wykonawcy wyjaśnień dotyczących treści złożonej oferty lub uzupełnienia brakujących dokumentów.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Zamawiający zastrzega sobie prawo do unieważnienia postępowania bez podania przyczyny.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Zaznaczamy, że oficjalnym potwierdzeniem chęci realizacji zamówienia przez Zamawiającego jest podpisanie umowy.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240" w:after="0"/>
        <w:ind w:hanging="284" w:left="28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Termin związania ofertą:</w:t>
      </w:r>
    </w:p>
    <w:p>
      <w:pPr>
        <w:pStyle w:val="Normal"/>
        <w:shd w:val="clear" w:color="auto" w:fill="FFFFFF"/>
        <w:spacing w:lineRule="auto" w:line="240" w:before="0" w:after="0"/>
        <w:ind w:left="426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30 dni od terminu składania ofert.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lineRule="auto" w:line="240" w:before="240" w:after="0"/>
        <w:ind w:hanging="284" w:left="28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Istotne postanowienia umowy lub wzór umowy, jeżeli zamawiający wymaga zawarcia umowy na określonych przez siebie warunkach: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/>
      </w:pPr>
      <w:r>
        <w:rPr>
          <w:rFonts w:cs="Arial" w:ascii="Arial" w:hAnsi="Arial"/>
          <w:b/>
          <w:sz w:val="24"/>
          <w:szCs w:val="24"/>
        </w:rPr>
        <w:t>Zamawiający nie określa wzoru umowy, ale wymaga w</w:t>
      </w:r>
      <w:r>
        <w:rPr>
          <w:rStyle w:val="FontStyle44"/>
          <w:rFonts w:ascii="Arial" w:hAnsi="Arial"/>
          <w:b/>
          <w:sz w:val="24"/>
          <w:szCs w:val="24"/>
        </w:rPr>
        <w:t> </w:t>
      </w:r>
      <w:r>
        <w:rPr>
          <w:rFonts w:cs="Arial" w:ascii="Arial" w:hAnsi="Arial"/>
          <w:b/>
          <w:sz w:val="24"/>
          <w:szCs w:val="24"/>
        </w:rPr>
        <w:t>zawartej umowie następujących zapisów:</w:t>
      </w:r>
    </w:p>
    <w:p>
      <w:pPr>
        <w:pStyle w:val="ListParagraph"/>
        <w:numPr>
          <w:ilvl w:val="1"/>
          <w:numId w:val="16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Płatności wynikające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umowy będą regulowane za pośrednictwem metody podzielonej płatności (split payment).</w:t>
      </w:r>
    </w:p>
    <w:p>
      <w:pPr>
        <w:pStyle w:val="ListParagraph"/>
        <w:numPr>
          <w:ilvl w:val="1"/>
          <w:numId w:val="16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shd w:fill="FFFFFF" w:val="clear"/>
        </w:rPr>
        <w:t>Wykonawca oświadcza, że jest zarejestrowanym czynnym podatnikiem VAT.</w:t>
      </w:r>
    </w:p>
    <w:p>
      <w:pPr>
        <w:pStyle w:val="ListParagraph"/>
        <w:numPr>
          <w:ilvl w:val="1"/>
          <w:numId w:val="16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Wykonawca oświadcza, że jest właścicielem wskazanego do płatności rachunku bankowego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że został do niego utworzony wydzielony rachunek VAT na cele prowadzonej działalności gospodarczej.</w:t>
      </w:r>
    </w:p>
    <w:p>
      <w:pPr>
        <w:pStyle w:val="ListParagraph"/>
        <w:numPr>
          <w:ilvl w:val="1"/>
          <w:numId w:val="16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 xml:space="preserve">Zapłata zostanie dokonana na konto 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podane na fakturze, w</w:t>
      </w:r>
      <w:r>
        <w:rPr>
          <w:rFonts w:ascii="Arial" w:hAnsi="Arial"/>
          <w:sz w:val="24"/>
          <w:szCs w:val="24"/>
          <w:lang w:eastAsia="pl-PL"/>
        </w:rPr>
        <w:t> </w:t>
      </w:r>
      <w:r>
        <w:rPr>
          <w:rFonts w:eastAsia="Times New Roman" w:cs="Times New Roman" w:ascii="Arial" w:hAnsi="Arial"/>
          <w:bCs/>
          <w:sz w:val="24"/>
          <w:szCs w:val="24"/>
          <w:lang w:eastAsia="pl-PL"/>
        </w:rPr>
        <w:t>ciągu 14 dni od dnia otrzymania prawidłowo wystawionej faktury przez Wykonawcę,</w:t>
      </w:r>
      <w:r>
        <w:rPr>
          <w:rFonts w:ascii="Arial" w:hAnsi="Arial"/>
          <w:bCs/>
          <w:sz w:val="24"/>
          <w:szCs w:val="24"/>
          <w:shd w:fill="FFFFFF" w:val="clear"/>
        </w:rPr>
        <w:t xml:space="preserve"> zgłoszone w wykazie podmiotów,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którym mowa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art. 96b ust. 1 ustawy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dnia 11 marca 2004 r. o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 (dalej biała lista podatników) pod rygorem odmowy zapłaty.</w:t>
      </w:r>
    </w:p>
    <w:p>
      <w:pPr>
        <w:pStyle w:val="ListParagraph"/>
        <w:shd w:val="clear" w:color="auto" w:fill="FFFFFF"/>
        <w:spacing w:lineRule="auto" w:line="240" w:before="0" w:after="0"/>
        <w:ind w:left="1134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przypadku:</w:t>
      </w:r>
    </w:p>
    <w:p>
      <w:pPr>
        <w:pStyle w:val="ListParagraph"/>
        <w:numPr>
          <w:ilvl w:val="0"/>
          <w:numId w:val="17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shd w:fill="FFFFFF" w:val="clear"/>
        </w:rPr>
        <w:t>braku na białej liście podatników rachunku bankowego wskazanego do zapłaty, zapłata zostanie przelana na pierwszy rachunek bankowy znajdujący się na białej liście podatników,</w:t>
      </w:r>
    </w:p>
    <w:p>
      <w:pPr>
        <w:pStyle w:val="ListParagraph"/>
        <w:numPr>
          <w:ilvl w:val="0"/>
          <w:numId w:val="17"/>
        </w:numPr>
        <w:shd w:val="clear" w:color="auto" w:fill="FFFFFF"/>
        <w:spacing w:lineRule="auto" w:line="240" w:before="0" w:after="0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nie zarejestrowania żadnego rachunku bankowego na białej liście podatników, zapłata będzie wstrzymana do czasu zamieszczenia numeru konta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wykazie podmiotów,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którym mowa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art. 96b ust. 1 ustawy z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dnia 11 marca 2004 r. o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usług, przy czym Zamawiający nie ponosi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takim razie odpowiedzialności za opóźnienie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zapłacie.</w:t>
      </w:r>
    </w:p>
    <w:p>
      <w:pPr>
        <w:pStyle w:val="ListParagraph"/>
        <w:numPr>
          <w:ilvl w:val="0"/>
          <w:numId w:val="18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Zapisy ust. od 1 do 4 mają zastosowanie do Wykonawcy będącego płatnikiem podatku od towarów i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usług VAT.</w:t>
      </w:r>
    </w:p>
    <w:p>
      <w:pPr>
        <w:pStyle w:val="ListParagraph"/>
        <w:numPr>
          <w:ilvl w:val="0"/>
          <w:numId w:val="18"/>
        </w:numPr>
        <w:shd w:val="clear" w:color="auto" w:fill="FFFFFF"/>
        <w:spacing w:lineRule="auto" w:line="240" w:before="0" w:after="0"/>
        <w:ind w:hanging="360"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shd w:fill="FFFFFF" w:val="clear"/>
        </w:rPr>
        <w:t>Faktury będą wystawiane na:</w:t>
      </w:r>
    </w:p>
    <w:p>
      <w:pPr>
        <w:pStyle w:val="ListParagraph"/>
        <w:shd w:val="clear" w:color="auto" w:fill="FFFFFF"/>
        <w:spacing w:lineRule="auto" w:line="240" w:before="0" w:after="0"/>
        <w:ind w:left="1134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shd w:fill="FFFFFF" w:val="clear"/>
        </w:rPr>
        <w:t>NABYWCA: Gmina Miasto Włocławek, Zielony Rynek 11/13, 87-800 Włocławek, NIP: 888-30-31-255.</w:t>
      </w:r>
    </w:p>
    <w:p>
      <w:pPr>
        <w:pStyle w:val="Default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  <w:shd w:fill="FFFFFF" w:val="clear"/>
        </w:rPr>
        <w:t xml:space="preserve">ODBIORCA: </w:t>
      </w:r>
      <w:r>
        <w:rPr>
          <w:rFonts w:ascii="Arial" w:hAnsi="Arial"/>
          <w:color w:val="auto"/>
          <w:sz w:val="24"/>
          <w:szCs w:val="24"/>
        </w:rPr>
        <w:t>Centrum Usług Wspólnych Placówek Oświatowych, ul.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Wojska Polskiego 27, 87-800 Włocławek.</w:t>
      </w:r>
    </w:p>
    <w:p>
      <w:pPr>
        <w:pStyle w:val="Normal"/>
        <w:shd w:val="clear" w:color="auto" w:fill="FFFFFF"/>
        <w:spacing w:lineRule="auto" w:line="240" w:before="0" w:after="0"/>
        <w:ind w:left="426"/>
        <w:jc w:val="both"/>
        <w:rPr/>
      </w:pPr>
      <w:r>
        <w:rPr>
          <w:rFonts w:ascii="Arial" w:hAnsi="Arial"/>
          <w:bCs/>
          <w:sz w:val="24"/>
          <w:szCs w:val="24"/>
          <w:shd w:fill="FFFFFF" w:val="clear"/>
        </w:rPr>
        <w:t>Ponadto załącznikiem do umowy powinien być opisany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 xml:space="preserve">niniejszym zapytaniu ofertowym </w:t>
      </w:r>
      <w:r>
        <w:rPr>
          <w:rFonts w:ascii="Arial" w:hAnsi="Arial"/>
          <w:b/>
          <w:sz w:val="24"/>
          <w:szCs w:val="24"/>
          <w:shd w:fill="FFFFFF" w:val="clear"/>
        </w:rPr>
        <w:t>opis przedmiotu zamówienia.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240" w:after="0"/>
        <w:ind w:hanging="284" w:left="284"/>
        <w:contextualSpacing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Dodatkowe informacje:</w:t>
      </w:r>
    </w:p>
    <w:p>
      <w:pPr>
        <w:pStyle w:val="Default"/>
        <w:ind w:left="426"/>
        <w:jc w:val="both"/>
        <w:rPr/>
      </w:pPr>
      <w:r>
        <w:rPr>
          <w:rFonts w:ascii="Arial" w:hAnsi="Arial"/>
          <w:color w:val="auto"/>
          <w:sz w:val="24"/>
          <w:szCs w:val="24"/>
        </w:rPr>
        <w:t>Aneta Kowalska, Inspektor ds. zamówień publicznych, numer telefonu 54/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427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>03</w:t>
      </w:r>
      <w:r>
        <w:rPr>
          <w:rFonts w:eastAsia="Times New Roman" w:cs="Times New Roman" w:ascii="Arial" w:hAnsi="Arial"/>
          <w:color w:val="auto"/>
          <w:sz w:val="24"/>
          <w:szCs w:val="24"/>
          <w:lang w:eastAsia="pl-PL"/>
        </w:rPr>
        <w:t> </w:t>
      </w:r>
      <w:r>
        <w:rPr>
          <w:rFonts w:ascii="Arial" w:hAnsi="Arial"/>
          <w:color w:val="auto"/>
          <w:sz w:val="24"/>
          <w:szCs w:val="24"/>
        </w:rPr>
        <w:t xml:space="preserve">73, adres e-mail: </w:t>
      </w:r>
      <w:hyperlink r:id="rId3">
        <w:r>
          <w:rPr>
            <w:rStyle w:val="Hyperlink"/>
            <w:rFonts w:ascii="Arial" w:hAnsi="Arial"/>
            <w:bCs/>
            <w:color w:val="auto"/>
            <w:sz w:val="24"/>
            <w:szCs w:val="24"/>
            <w:u w:val="none"/>
          </w:rPr>
          <w:t>akowalska@cuwpo.wloclawek.pl</w:t>
        </w:r>
      </w:hyperlink>
      <w:r>
        <w:rPr>
          <w:rFonts w:ascii="Arial" w:hAnsi="Arial"/>
          <w:color w:val="auto"/>
          <w:sz w:val="24"/>
          <w:szCs w:val="24"/>
        </w:rPr>
        <w:t>.</w:t>
      </w:r>
    </w:p>
    <w:p>
      <w:pPr>
        <w:pStyle w:val="Default"/>
        <w:spacing w:lineRule="auto" w:line="276" w:before="24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t>XIII. Załączniki: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Załącznik nr</w:t>
      </w:r>
      <w:r>
        <w:rPr>
          <w:rFonts w:eastAsia="Times New Roman" w:cs="Times New Roman" w:ascii="Arial" w:hAnsi="Arial"/>
          <w:sz w:val="24"/>
          <w:szCs w:val="24"/>
          <w:lang w:eastAsia="pl-PL"/>
        </w:rPr>
        <w:t> </w:t>
      </w:r>
      <w:r>
        <w:rPr>
          <w:rFonts w:ascii="Arial" w:hAnsi="Arial"/>
          <w:sz w:val="24"/>
          <w:szCs w:val="24"/>
        </w:rPr>
        <w:t>1 – Formularz oferty.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Klauzula informacyjna.</w:t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Verdana">
    <w:charset w:val="ee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16787707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16787707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eastAsia="Times New Roman" w:cs="Calibri" w:asciiTheme="minorHAnsi" w:cstheme="minorHAnsi" w:hAnsiTheme="minorHAnsi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color w:themeColor="accent1" w:val="4F81BD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3"/>
      <w:numFmt w:val="upperRoman"/>
      <w:lvlText w:val="%1."/>
      <w:lvlJc w:val="left"/>
      <w:pPr>
        <w:tabs>
          <w:tab w:val="num" w:pos="0"/>
        </w:tabs>
        <w:ind w:left="1146" w:hanging="72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8">
    <w:lvl w:ilvl="0">
      <w:start w:val="5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4188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1494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14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35"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/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/>
    </w:lvl>
  </w:abstractNum>
  <w:abstractNum w:abstractNumId="37"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40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1"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link w:val="Nagwek1Znak"/>
    <w:uiPriority w:val="9"/>
    <w:qFormat/>
    <w:rsid w:val="0047639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Heading5">
    <w:name w:val="heading 5"/>
    <w:basedOn w:val="Normal"/>
    <w:next w:val="Normal"/>
    <w:link w:val="Nagwek5Znak"/>
    <w:uiPriority w:val="9"/>
    <w:unhideWhenUsed/>
    <w:qFormat/>
    <w:rsid w:val="00691a5d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82412"/>
    <w:rPr>
      <w:b/>
      <w:bCs/>
    </w:rPr>
  </w:style>
  <w:style w:type="character" w:styleId="Hyperlink">
    <w:name w:val="Hyperlink"/>
    <w:basedOn w:val="DefaultParagraphFont"/>
    <w:uiPriority w:val="99"/>
    <w:unhideWhenUsed/>
    <w:rsid w:val="00db7f75"/>
    <w:rPr>
      <w:color w:themeColor="hyperlink" w:val="0000FF"/>
      <w:u w:val="single"/>
    </w:rPr>
  </w:style>
  <w:style w:type="character" w:styleId="Nagwek1Znak" w:customStyle="1">
    <w:name w:val="Nagłówek 1 Znak"/>
    <w:basedOn w:val="DefaultParagraphFont"/>
    <w:uiPriority w:val="9"/>
    <w:qFormat/>
    <w:rsid w:val="00476398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86d8d"/>
    <w:rPr>
      <w:rFonts w:ascii="Tahoma" w:hAnsi="Tahoma" w:cs="Tahoma"/>
      <w:sz w:val="16"/>
      <w:szCs w:val="16"/>
    </w:rPr>
  </w:style>
  <w:style w:type="character" w:styleId="markedcontent" w:customStyle="1">
    <w:name w:val="markedcontent"/>
    <w:basedOn w:val="DefaultParagraphFont"/>
    <w:qFormat/>
    <w:rsid w:val="000b1d1d"/>
    <w:rPr/>
  </w:style>
  <w:style w:type="character" w:styleId="BezodstpwZnak" w:customStyle="1">
    <w:name w:val="Bez odstępów Znak"/>
    <w:basedOn w:val="DefaultParagraphFont"/>
    <w:link w:val="NoSpacing"/>
    <w:uiPriority w:val="1"/>
    <w:qFormat/>
    <w:rsid w:val="00ba60c0"/>
    <w:rPr/>
  </w:style>
  <w:style w:type="character" w:styleId="normaltextrun" w:customStyle="1">
    <w:name w:val="normaltextrun"/>
    <w:basedOn w:val="DefaultParagraphFont"/>
    <w:qFormat/>
    <w:rsid w:val="00ba60c0"/>
    <w:rPr/>
  </w:style>
  <w:style w:type="character" w:styleId="Nagwek5Znak" w:customStyle="1">
    <w:name w:val="Nagłówek 5 Znak"/>
    <w:basedOn w:val="DefaultParagraphFont"/>
    <w:uiPriority w:val="9"/>
    <w:qFormat/>
    <w:rsid w:val="00691a5d"/>
    <w:rPr>
      <w:rFonts w:ascii="Cambria" w:hAnsi="Cambria" w:eastAsia="" w:cs="" w:asciiTheme="majorHAnsi" w:cstheme="majorBidi" w:eastAsiaTheme="majorEastAsia" w:hAnsiTheme="majorHAnsi"/>
      <w:color w:themeColor="accent1" w:themeShade="7f" w:val="243F60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691a5d"/>
    <w:rPr/>
  </w:style>
  <w:style w:type="character" w:styleId="AkapitzlistZnak" w:customStyle="1">
    <w:name w:val="Akapit z listą Znak"/>
    <w:link w:val="ListParagraph"/>
    <w:uiPriority w:val="34"/>
    <w:qFormat/>
    <w:rsid w:val="007d729d"/>
    <w:rPr/>
  </w:style>
  <w:style w:type="character" w:styleId="FontStyle44" w:customStyle="1">
    <w:name w:val="Font Style44"/>
    <w:qFormat/>
    <w:rsid w:val="00795a70"/>
    <w:rPr>
      <w:rFonts w:ascii="Times New Roman" w:hAnsi="Times New Roman" w:cs="Times New Roman"/>
      <w:sz w:val="22"/>
      <w:szCs w:val="22"/>
    </w:rPr>
  </w:style>
  <w:style w:type="character" w:styleId="NagwekZnak" w:customStyle="1">
    <w:name w:val="Nagłówek Znak"/>
    <w:basedOn w:val="DefaultParagraphFont"/>
    <w:uiPriority w:val="99"/>
    <w:qFormat/>
    <w:rsid w:val="00f92a7f"/>
    <w:rPr/>
  </w:style>
  <w:style w:type="character" w:styleId="StopkaZnak" w:customStyle="1">
    <w:name w:val="Stopka Znak"/>
    <w:basedOn w:val="DefaultParagraphFont"/>
    <w:uiPriority w:val="99"/>
    <w:qFormat/>
    <w:rsid w:val="00f92a7f"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691a5d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ff7272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782412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601b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link w:val="BezodstpwZnak"/>
    <w:uiPriority w:val="1"/>
    <w:qFormat/>
    <w:rsid w:val="00aa3f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6d8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wykytekstVN" w:customStyle="1">
    <w:name w:val="Zwykły tekst VN"/>
    <w:basedOn w:val="BodyText"/>
    <w:qFormat/>
    <w:rsid w:val="00691a5d"/>
    <w:pPr>
      <w:suppressAutoHyphens w:val="true"/>
      <w:spacing w:lineRule="auto" w:line="240" w:before="240" w:after="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Wypunktowanie1NV" w:customStyle="1">
    <w:name w:val="Wypunktowanie 1 NV"/>
    <w:basedOn w:val="BodyText"/>
    <w:qFormat/>
    <w:rsid w:val="00691a5d"/>
    <w:pPr>
      <w:numPr>
        <w:ilvl w:val="0"/>
        <w:numId w:val="2"/>
      </w:numPr>
      <w:suppressAutoHyphens w:val="true"/>
      <w:spacing w:lineRule="auto" w:line="240" w:before="120" w:after="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Wypunktowanie2NV" w:customStyle="1">
    <w:name w:val="Wypunktowanie 2 NV"/>
    <w:basedOn w:val="BodyText"/>
    <w:qFormat/>
    <w:rsid w:val="00691a5d"/>
    <w:pPr>
      <w:suppressAutoHyphens w:val="true"/>
      <w:spacing w:lineRule="auto" w:line="240" w:before="120" w:after="0"/>
      <w:ind w:hanging="360" w:left="1440"/>
    </w:pPr>
    <w:rPr>
      <w:rFonts w:ascii="Verdana" w:hAnsi="Verdana" w:eastAsia="Times New Roman" w:cs="Times New Roman"/>
      <w:color w:val="1F262D"/>
      <w:sz w:val="20"/>
      <w:lang w:eastAsia="pl-PL"/>
    </w:rPr>
  </w:style>
  <w:style w:type="paragraph" w:styleId="Style14" w:customStyle="1">
    <w:name w:val="Style14"/>
    <w:basedOn w:val="Normal"/>
    <w:qFormat/>
    <w:rsid w:val="00795a70"/>
    <w:pPr>
      <w:widowControl w:val="false"/>
      <w:spacing w:lineRule="exact" w:line="274" w:before="0" w:after="0"/>
      <w:ind w:hanging="353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renum" w:customStyle="1">
    <w:name w:val="Treść num."/>
    <w:basedOn w:val="Normal"/>
    <w:qFormat/>
    <w:rsid w:val="003c01a9"/>
    <w:pPr>
      <w:spacing w:lineRule="auto" w:line="300" w:before="0" w:after="12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92a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f92a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206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kowalska@cuwpo.wloclawek.pl" TargetMode="External"/><Relationship Id="rId3" Type="http://schemas.openxmlformats.org/officeDocument/2006/relationships/hyperlink" Target="mailto:akowalska@cuwpo.wloclawek.pl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5B5D-8273-4CAD-8719-30CAD3B4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Application>LibreOffice/25.2.7.2$Windows_X86_64 LibreOffice_project/5cbfd1ab6520636bb5f7b99185aa69bd7456825d</Application>
  <AppVersion>15.0000</AppVersion>
  <Pages>14</Pages>
  <Words>4454</Words>
  <Characters>29081</Characters>
  <CharactersWithSpaces>33009</CharactersWithSpaces>
  <Paragraphs>355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2026-01-05T11:05:00Z</dcterms:created>
  <dc:creator>AKowalska</dc:creator>
  <dc:description/>
  <cp:keywords>Zapytanie ofertowe</cp:keywords>
  <dc:language>pl-PL</dc:language>
  <cp:lastModifiedBy/>
  <cp:lastPrinted>2026-01-21T09:53:00Z</cp:lastPrinted>
  <dcterms:modified xsi:type="dcterms:W3CDTF">2026-01-21T12:55:05Z</dcterms:modified>
  <cp:revision>180</cp:revision>
  <dc:subject/>
  <dc:title>Zapytanie ofertowe - wersja dostępna cyfrowo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